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16f7" w14:textId="5ba1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қызметінің регламентін бекіту туралы" Шығыс Қазақстан облысы әкімдігінің 2015 жылғы 30 шілдедегі № 189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29 наурыздағы № 83 қаулысы. Шығыс Қазақстан облысының Әділет департаментінде 2016 жылғы 3 мамырда № 4530 болып тіркелді. Күші жойылды - Шығыс Қазақстан облысы әкімдігінің 2020 жылғы 20 тамыздағы № 289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20.08.2020 № 289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2 - 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3 - тармағына</w:t>
      </w:r>
      <w:r>
        <w:rPr>
          <w:rFonts w:ascii="Times New Roman"/>
          <w:b w:val="false"/>
          <w:i w:val="false"/>
          <w:color w:val="000000"/>
          <w:sz w:val="28"/>
        </w:rPr>
        <w:t xml:space="preserve"> және Қазақстан Республикасы Мәдениет және спорт министрінің "Мұрағат ісі саласындағы мемлекеттік көрсетілетін қызметтер стандарттарын бекіту туралы" 2016 жылғы 27 қаңтардағы № 16 (Нормативтік құқықтық актілерін мемлекеттік тіркеу тізілімінде 11086 нөмірімен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"Мұрағат анықтамаларын беру" мемлекеттік көрсетілетін қызметінің регламентін бекіту туралы" Шығыс Қазақстан облысы әкімдігінің 2015 жылғы 30 шілдедегі № 189 (Нормативтік құқықтық актілерін мемлекеттік тіркеу тізілімінде 4132 нөмерімен тіркелген, 2015 жылғы 26 қыркүйектегі № 110 (17199) "Дидар", 2015 жылғы 25 қыркүйектегі № 113 (19712))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"Мұрағат анықтамаларын беру" мемлекеттік көрсетілетін қызметтің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 29 " наурыздағы </w:t>
            </w:r>
            <w:r>
              <w:br/>
            </w:r>
            <w:r>
              <w:rPr>
                <w:rFonts w:ascii="Times New Roman"/>
                <w:b w:val="false"/>
                <w:i w:val="false"/>
                <w:color w:val="000000"/>
                <w:sz w:val="20"/>
              </w:rPr>
              <w:t>№ 83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30 шілдедегі </w:t>
            </w:r>
            <w:r>
              <w:br/>
            </w:r>
            <w:r>
              <w:rPr>
                <w:rFonts w:ascii="Times New Roman"/>
                <w:b w:val="false"/>
                <w:i w:val="false"/>
                <w:color w:val="000000"/>
                <w:sz w:val="20"/>
              </w:rPr>
              <w:t>№ 189 қаулысымен бекітілген</w:t>
            </w:r>
          </w:p>
        </w:tc>
      </w:tr>
    </w:tbl>
    <w:bookmarkStart w:name="z14" w:id="1"/>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"Мұрағат анықтамаларын беру" мемлекеттік көрсетілетін қызметті (бұдан әрі - мемлекеттік көрсетілетін қызмет) облыстың, қалалар, аудандардың мемлекеттік мұрағаттары және олардың филиалдары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"электрондық үкiмет"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немесе мұрағаттық құжаттардан куәландырылған мұрағаттық көшірмелер мен үзінділер.</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 нәтижесін алу орны және мерзімі көрсетілген хабарлама беріледі.</w:t>
      </w:r>
    </w:p>
    <w:bookmarkEnd w:id="3"/>
    <w:bookmarkStart w:name="z25"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6"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оның уәкілетті өкiлi: уәкілеттілігін растайтын құжат бойынша заңды тұлға; нотариалды куәландырылған сенімхат бойынша жеке тұлға) Қазақстан Республикасы Мәдениет және спорт министрінің 2016 жылғы 27 қаңтардағы № 16 бұйрығымен бекітілген (Нормативтік құқықтық актілерді мемлекеттік тіркеу тізілімінде 13360 номерімен болып тіркелген), "Мұрағат анықтамаларын беру" мемлекеттік көрсетілетін қызмет стандартының </w:t>
      </w:r>
      <w:r>
        <w:rPr>
          <w:rFonts w:ascii="Times New Roman"/>
          <w:b w:val="false"/>
          <w:i w:val="false"/>
          <w:color w:val="000000"/>
          <w:sz w:val="28"/>
        </w:rPr>
        <w:t>9 - тармағына</w:t>
      </w:r>
      <w:r>
        <w:rPr>
          <w:rFonts w:ascii="Times New Roman"/>
          <w:b w:val="false"/>
          <w:i w:val="false"/>
          <w:color w:val="000000"/>
          <w:sz w:val="28"/>
        </w:rPr>
        <w:t xml:space="preserve"> сәйкес (бұдан әрі - Стандарт) құжаттарының болуы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рәсімдердің (іс-қимылдардың) мазмұны және олардың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 іс-қимыл - көрсетілетін қызметті беруші кеңсе қызметкерінің құжаттарды қабылдауы және тіркеуі, құжаттарды көрсетілетін қызметті берушінің басшысына беруі.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2 - іс-қимыл - көрсетілетін қызметті беруші басшысының құжаттарды қарауы, көрсетілетін қызметті беруші бөлім басшысына құжаттарды беруі.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3 - іс-қимыл -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4 - іс-қимыл - көрсетілетін қызметті беруші бөлім маманының құжаттардың Стандарттың 9 - тармағында көзделген қойылатын талаптарға сәйкестігін қарауы және мұрағат анықтамасын дайындауы. Орындалу ұзақтығы - 10 (он)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5 - іс-қимыл - көрсетілетін қызметті беруші басшысының мұрағат анықтамасына қол қоюы.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6 - іс-қимыл - көрсетілетін қызметті берушіге немесе Мемлекеттік корпорацияға жүгінген кезде көрсетілетін қызметті беруші басшысының қолы қойылған мұрағат анықтамасын көрсетілетін қызметті алушыға беру, сондай-ақ порталға жүгінген кезде мұрағат анықтамасының дайын екені туралы хабарлама жіберу.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Мемлекеттік корпорация құжаттарды тапсырған кезден бастап, сондай-ақ порталға жүгінген кезде мемлекеттік қызметті көрсету мерзімі - 15 (он бес)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көрсетілетін қызметті алушы қарау мерзімі ұзартылған күннен бастап 3 (үш) күнтізбелік күн ішінде өтініште көрсетілген мекенжайға хат жолдау арқылы хабарландырылады.</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1 іс-қимыл бойынша мемлекеттік қызмет көрсету бойынша рәсімнің (іс-қимылдың) нәтижесі құжаттарды қабылдаған тұлғаның атын, тегін, әкесінің атын (болған жағдайда) көрсетумен кіріс құжаттарды қабылдау күні, уақыты және нөмірі бар өтініш көшірмесін көрсетілетін қызметті алушыға беру және құжаттар топтамасын көрсетілетін қызметті берушінің басшысына беру болып табылады. Көрсетілетін қызметті берушінің басшысына берілген құжаттар топтамасы осы Регламенттің 5 - тармағында көрсетілген 2 іс-қимылды орындауды бастау үшін негіз болып табылады. Осы Регламенттің 5-тармағында көрсетілген 2 іс-қимыл бойынша нәтиже көрсетілетін қызметті беруші басшысының қарары болып табылады, ол осы Регламенттің 5-тармағында көрсетілген 3 іс-қимылды орындау үшін негіз болып табылады. Осы Регламенттің 5-тармағында көрсетілген 3 іс-қимыл бойынша нәтиже көрсетілетін қызметті беруші бөлім басшысының қарары болып табылады, ол осы Регламенттің 5-тармағында көрсетілген 4 іс-қимылды орындауды бастау үшін негіз болады. Осы Регламенттің 5-тармағында көрсетілген 4 іс-қимыл бойынша нәтиже бөлім маманы дайындаған мұрағат анықтамасы болып табылады, ол осы Регламенттің 5-тармағында көрсетілген 5 іс-қимылды орындау үшін негіз болып табылады. Осы Регламенттің 5-тармағында көрсетілген 5 іс-қимыл бойынша нәтиже көрсетілетін қызметті беруші басшысының қолы қойылған мұрағат анықтамасы болып табылады, ол осы Регламенттің 5-тармағында көрсетілген 6 іс-қимылды орындау үшін негіз болып табылады. Осы Регламенттің 5-тармағында көрсетілген 6 іс-қимыл бойынша нәтиже, қызмет берушіге жүгінген кезде немесе Мемлекеттік корпорацияға жүгінген кезде қызмет алушыға қызметті беруші басшысының қолы қойылған мұрағат анықтамасын беру немесе порталға жүгінген кезде мұрағат анықтамасының дайын екені туралы хабарлама болып табылады.</w:t>
      </w:r>
    </w:p>
    <w:bookmarkEnd w:id="5"/>
    <w:bookmarkStart w:name="z3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өзара іс-қимыл тәртібін сипаттау</w:t>
      </w:r>
    </w:p>
    <w:bookmarkEnd w:id="6"/>
    <w:bookmarkStart w:name="z38"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бөлімінің маманы.</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 қызметкерінің құжаттарды қабылдауы және тіркеуі, көрсетілетін қызметті беруші басшысына құжаттарды беруі.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құжаттарды қарауы, көрсетілетін қызметті беруші бөлімінің басшысына құжаттарды беруі.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бөлімі маманының құжаттардың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қойылатын талаптарға сәйкестігін қарауы және мұрағат анықтамасын дайындауы. Орындалу ұзақтығы – 10 (он)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басшысының мұрағат анықтамасына қол қоюы.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берушіге немесе Мемлекеттік корпорацияға жүгінген кезде көрсетілетін қызметті беруші басшысының қолы қойылған мұрағат анықтамасын көрсетілетін қызметті алушыға жіберу, сондай-ақ порталға жүгінген кезде мұрағат анықтамасының дайын екені туралы хабарлама жіберу. Орындалу ұзақтығы – 1 (бір) жұмыс күні ішінде.</w:t>
      </w:r>
    </w:p>
    <w:bookmarkEnd w:id="7"/>
    <w:bookmarkStart w:name="z50" w:id="8"/>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51" w:id="9"/>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құжаттарды ұсынады. Көрсетілетін қызметті алушының сұрау салуын өндеу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сұрау салуды дайындау және жолдау тәртібі: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осы Регламентте көрсетілген қызметті таңдауы, қызмет көрсетуге арналған сұрау салу нысанын экранға шығаруы және Мемлекеттік корпорация операторының қызмет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куәландырылған кезде - сенімхаттың деректері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ЭҮШ арқылы ЖТ МДҚ/ЗТ МДҚ-ға көрсетілетін қызметті алушының деректері, сондай-ақ БНАЖ-ға көрсетілетін қызметті алушының сенімхат бойынша өкілінің деректері туралы сұрау салуды жіберу;</w:t>
      </w:r>
      <w:r>
        <w:br/>
      </w:r>
      <w:r>
        <w:rPr>
          <w:rFonts w:ascii="Times New Roman"/>
          <w:b w:val="false"/>
          <w:i w:val="false"/>
          <w:color w:val="000000"/>
          <w:sz w:val="28"/>
        </w:rPr>
        <w:t xml:space="preserve">
      </w:t>
      </w:r>
      <w:r>
        <w:rPr>
          <w:rFonts w:ascii="Times New Roman"/>
          <w:b w:val="false"/>
          <w:i w:val="false"/>
          <w:color w:val="000000"/>
          <w:sz w:val="28"/>
        </w:rPr>
        <w:t>ЖТ МДҚ/ЗТ МДҚ-да көрсетілетін қызметті алушы деректерінің, БНАЖ-да сенімхат деректерінің болуын тексеру;</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сканерлеуі, оларды сұрау салу нысанына бекітуі және қызмет көрсетуге толтырылған сұрау салу нысанын (енгізілген деректерді) ЭЦҚ арқылы куәландыруы;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ЭЦҚ куәландырылған (қол қойылған) электрондық құжатты (көрсетілетін қызметті алушының сұрау салуын) ЭҮШ арқылы көрсетілетін қызметті берушінің АЖО-сына жолдау.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сұрау салуын жолдауға уәкілетті құрылымдық бөлімшелер немесе лауазымды адамдар:</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корпорациямен және (немесе) өзге көрсетілетін қызметті берушілермен өзара іс-қимыл реттілігі және мерзімдері, оның ішінде көрсетілетін қызметті берушілердің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1) 1 - процесс - қызмет көрсету үшін Мемлекеттік корпорация операторының Мемлекеттік корпорация АЖ АЖО-ға логинді және парольді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2) 2 - процесс - Мемлекеттік корпорация операторының осы Регламентте көрсетілген қызметті таңдауы, қызмет көрсетуге арналған сұрау салу формасын экранға шығаруы және Мемлекеттік корпорация операторының көрсетілетін қызметті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куәландырған кезде – сенімхаттың деректері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3) 3 - процесс - ЭҮШ арқылы ЖТ МДҚ/ЗТ МДҚ-ға көрсетілетін қызметті алушының деректері, сондай–ақ БНАЖ-ға көрсетілетін қызметті алушының сенімхат бойынша өкілінің деректері туралы сұрау салуды жіберу;</w:t>
      </w:r>
      <w:r>
        <w:br/>
      </w:r>
      <w:r>
        <w:rPr>
          <w:rFonts w:ascii="Times New Roman"/>
          <w:b w:val="false"/>
          <w:i w:val="false"/>
          <w:color w:val="000000"/>
          <w:sz w:val="28"/>
        </w:rPr>
        <w:t xml:space="preserve">
      </w:t>
      </w:r>
      <w:r>
        <w:rPr>
          <w:rFonts w:ascii="Times New Roman"/>
          <w:b w:val="false"/>
          <w:i w:val="false"/>
          <w:color w:val="000000"/>
          <w:sz w:val="28"/>
        </w:rPr>
        <w:t>4) 1 - шарт - ЖТ МДҚ/ЗТ МДҚ-ға көрсетілетін қызметті алушының деректерінің БНАЖ-да сенімхат деректерінің болуын тексеру;</w:t>
      </w:r>
      <w:r>
        <w:br/>
      </w:r>
      <w:r>
        <w:rPr>
          <w:rFonts w:ascii="Times New Roman"/>
          <w:b w:val="false"/>
          <w:i w:val="false"/>
          <w:color w:val="000000"/>
          <w:sz w:val="28"/>
        </w:rPr>
        <w:t xml:space="preserve">
      </w:t>
      </w:r>
      <w:r>
        <w:rPr>
          <w:rFonts w:ascii="Times New Roman"/>
          <w:b w:val="false"/>
          <w:i w:val="false"/>
          <w:color w:val="000000"/>
          <w:sz w:val="28"/>
        </w:rPr>
        <w:t>5) 4 - процесс - ЖТ МДҚ/ЗТ МДҚ-да көрсетілетін қызметті алушының деректерінің, БНАЖ-да сенімхат деректерінің болмауына байланысты деректерді алу мүмкіндігі жоқтығы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6) 5 - процесс - 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сканерлеуі, оларды сұрау салу нысанына бекітуі және қызмет көрсетуге толтырылған сұрау салу нысанын (енгізілген деректерді) ЭЦҚ арқылы куәландыруы;</w:t>
      </w:r>
      <w:r>
        <w:br/>
      </w:r>
      <w:r>
        <w:rPr>
          <w:rFonts w:ascii="Times New Roman"/>
          <w:b w:val="false"/>
          <w:i w:val="false"/>
          <w:color w:val="000000"/>
          <w:sz w:val="28"/>
        </w:rPr>
        <w:t xml:space="preserve">
      </w:t>
      </w:r>
      <w:r>
        <w:rPr>
          <w:rFonts w:ascii="Times New Roman"/>
          <w:b w:val="false"/>
          <w:i w:val="false"/>
          <w:color w:val="000000"/>
          <w:sz w:val="28"/>
        </w:rPr>
        <w:t>7) 6 - процесс - Мемлекеттік корпорация операторының ЭЦҚ куәландырылған (қол қойылған) электрондық құжатты (көрсетілетін қызметті алушының сұрау салуын) ЭҮШ арқылы қызмет көрсетушінің АЖО-сына жолдау;</w:t>
      </w:r>
      <w:r>
        <w:br/>
      </w:r>
      <w:r>
        <w:rPr>
          <w:rFonts w:ascii="Times New Roman"/>
          <w:b w:val="false"/>
          <w:i w:val="false"/>
          <w:color w:val="000000"/>
          <w:sz w:val="28"/>
        </w:rPr>
        <w:t xml:space="preserve">
      </w:t>
      </w:r>
      <w:r>
        <w:rPr>
          <w:rFonts w:ascii="Times New Roman"/>
          <w:b w:val="false"/>
          <w:i w:val="false"/>
          <w:color w:val="000000"/>
          <w:sz w:val="28"/>
        </w:rPr>
        <w:t>8) 7 - процесс - электрондық құжатты көрсетілетін қызметті берушінің АЖО-ында тіркеу;</w:t>
      </w:r>
      <w:r>
        <w:br/>
      </w:r>
      <w:r>
        <w:rPr>
          <w:rFonts w:ascii="Times New Roman"/>
          <w:b w:val="false"/>
          <w:i w:val="false"/>
          <w:color w:val="000000"/>
          <w:sz w:val="28"/>
        </w:rPr>
        <w:t xml:space="preserve">
      </w:t>
      </w:r>
      <w:r>
        <w:rPr>
          <w:rFonts w:ascii="Times New Roman"/>
          <w:b w:val="false"/>
          <w:i w:val="false"/>
          <w:color w:val="000000"/>
          <w:sz w:val="28"/>
        </w:rPr>
        <w:t>9) 2 - шарт – көрсетілетін қызметті берушінің көрсетілетін қызметті алушының қоса берген құжаттарының Стандартта көрсетілген құжаттар тізбесіне және қызмет көрсету негіздеріне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10) 8 - процесс - көрсетілетін қызметті алушының құжаттарындағы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9 - процесс - көрсетілетін қызметті алушының Мемлекеттік корпорация операторы арқылы қызмет нәтижесін (мұрағат анықтамасын) алуы.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нәтижесін Мемлекеттік корпорация арқылы алу процесі: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мемлекеттік қызмет көрсету нәтижесін (мұрағат анықтамасын) алуға мемлекеттік қызмет көрсету мерзімі аяқталған соң жүгінеді. Мемлекеттік қызметті көрсету мерзімі - 15 (он бес)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мемлекеттік қызмет нәтижесін 1 (бір) ай бойы сақтауды қамтамасыз етеді, одан кейін оны көрсетілетін қызметті берушіге одан әрі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мемлекеттік қызметті көрсетудің дайын нәтижесін көрсетілетін қызметті алушыға беру үшін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жүгіну тәртібі және көрсетілетін қызметті беруші мен қызмет алушы рәсімдерінің (іс-қимылдарының) реттілік тәртібі Регламенттің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12. Портал арқылы мемлекеттік қызмет көрсету үшін қажетті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мемлекеттік қызметті алушы порталда тіркеуді көрсетілетін мемлекеттік қызмет алушы компьютерінің интернет-браузерінде сақталатын өзінің ЭЦҚ тіркеу куәлігінің көмегімен жүзеге асырады (порталда тіркелмеген көрсетілетін мемлекеттік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1 - процесс - қызмет алу үшін көрсетілетін қызметті алушының порталға ЖСН/БСН және парольді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1 - шарт - ЖСН/БСН және пароль арқылы тіркелген көрсетілетін қызмет алушының деректерінің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2 - процесс - порталда көрсетілетін қызмет алушының деректерінде бұзушылықтардың болуына байланысты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3 - процесс - көрсетілетін қызмет алушының осы Регламентте көрсетілген қызметті таңдауы, қызмет көрсету үшін сұрау салу нысанын экранға шығаруы және қызмет алушының оның құрылымдық және пішіндік талаптарын ескере отырып, нысанды толтыруы (деректерді енгізуі),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электронды түрдегі құжаттардың көшірмелерін сұрау салу формасына тіркеуі, сондай-ақ сұрау салуды куәландыру (қол қою) үшін көрсетілетін қызмет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2 - шарт - порталда ЭЦҚ тіркеу куәлігінің қолданыс мерзімін және қайтарып алынған (күші жойылған) тіркеу куәліктерінің тізімінде жоқтығын, сондай-ақ сәйкестендіру деректерінің (сұрау салуда көрсетілген ЖСН/БСН мен ЭЦҚ-ның тіркеу куәлігінде көрсетілген ЖСН/БСН-нің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4 - процесс - көрсетілетін қызметті алушының ЭЦҚ-ның түпнұсқалығы расталмауына байланысты сұратылып отырған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5 - процесс - қызмет көрсету үшін көрсетілетін қызметті алушының ЭЦҚ-ның көмегімен сұрау салуды куәландыру және электрондық құжатты (сұрау салуды) көрсетілетін қызметті берушінің өңдеуі үшін ЭҮШ арқылы АЖО-на жолдау;</w:t>
      </w:r>
      <w:r>
        <w:br/>
      </w:r>
      <w:r>
        <w:rPr>
          <w:rFonts w:ascii="Times New Roman"/>
          <w:b w:val="false"/>
          <w:i w:val="false"/>
          <w:color w:val="000000"/>
          <w:sz w:val="28"/>
        </w:rPr>
        <w:t xml:space="preserve">
      </w:t>
      </w:r>
      <w:r>
        <w:rPr>
          <w:rFonts w:ascii="Times New Roman"/>
          <w:b w:val="false"/>
          <w:i w:val="false"/>
          <w:color w:val="000000"/>
          <w:sz w:val="28"/>
        </w:rPr>
        <w:t>9) 6 - процесс - электрондық құжатты көрсетілетін қызметті берушінің АЖО-да тіркеу;</w:t>
      </w:r>
      <w:r>
        <w:br/>
      </w:r>
      <w:r>
        <w:rPr>
          <w:rFonts w:ascii="Times New Roman"/>
          <w:b w:val="false"/>
          <w:i w:val="false"/>
          <w:color w:val="000000"/>
          <w:sz w:val="28"/>
        </w:rPr>
        <w:t xml:space="preserve">
      </w:t>
      </w:r>
      <w:r>
        <w:rPr>
          <w:rFonts w:ascii="Times New Roman"/>
          <w:b w:val="false"/>
          <w:i w:val="false"/>
          <w:color w:val="000000"/>
          <w:sz w:val="28"/>
        </w:rPr>
        <w:t>10) 3 - шарт - көрсетілетін қызметті берушінің көрсетілетін қызметті алушы қоса берген құжаттардың Стандартта көрсетілген құжаттар тізбесіне және қызмет көрсету негіздеріне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11) 7 - процесс -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12) 8 - процесс - көрсетілетін қызметті алушының мемлекеттік көрсетілетін қызметін нәтижесін (мұрағат анықтамасын) алуы.</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 орталығымен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 қосымшаға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және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АЖО – автоматтандырылған жұмыс орны</w:t>
      </w:r>
      <w:r>
        <w:br/>
      </w:r>
      <w:r>
        <w:rPr>
          <w:rFonts w:ascii="Times New Roman"/>
          <w:b w:val="false"/>
          <w:i w:val="false"/>
          <w:color w:val="000000"/>
          <w:sz w:val="28"/>
        </w:rPr>
        <w:t xml:space="preserve">
      </w:t>
      </w:r>
      <w:r>
        <w:rPr>
          <w:rFonts w:ascii="Times New Roman"/>
          <w:b w:val="false"/>
          <w:i w:val="false"/>
          <w:color w:val="000000"/>
          <w:sz w:val="28"/>
        </w:rPr>
        <w:t>БНАЖ – бірыңғай нотариаттық ақпараттық жүйе</w:t>
      </w:r>
      <w:r>
        <w:br/>
      </w:r>
      <w:r>
        <w:rPr>
          <w:rFonts w:ascii="Times New Roman"/>
          <w:b w:val="false"/>
          <w:i w:val="false"/>
          <w:color w:val="000000"/>
          <w:sz w:val="28"/>
        </w:rPr>
        <w:t xml:space="preserve">
      </w:t>
      </w:r>
      <w:r>
        <w:rPr>
          <w:rFonts w:ascii="Times New Roman"/>
          <w:b w:val="false"/>
          <w:i w:val="false"/>
          <w:color w:val="000000"/>
          <w:sz w:val="28"/>
        </w:rPr>
        <w:t>БСН – бизнес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ЖТ МДҚ – "Жеке тұлғалар" мемлекеттік деректер қоры</w:t>
      </w:r>
      <w:r>
        <w:br/>
      </w:r>
      <w:r>
        <w:rPr>
          <w:rFonts w:ascii="Times New Roman"/>
          <w:b w:val="false"/>
          <w:i w:val="false"/>
          <w:color w:val="000000"/>
          <w:sz w:val="28"/>
        </w:rPr>
        <w:t xml:space="preserve">
      </w:t>
      </w:r>
      <w:r>
        <w:rPr>
          <w:rFonts w:ascii="Times New Roman"/>
          <w:b w:val="false"/>
          <w:i w:val="false"/>
          <w:color w:val="000000"/>
          <w:sz w:val="28"/>
        </w:rPr>
        <w:t>ЗТ МДҚ – "Заңды тұлғалар" мемлекеттік деректер қоры</w:t>
      </w:r>
      <w:r>
        <w:br/>
      </w:r>
      <w:r>
        <w:rPr>
          <w:rFonts w:ascii="Times New Roman"/>
          <w:b w:val="false"/>
          <w:i w:val="false"/>
          <w:color w:val="000000"/>
          <w:sz w:val="28"/>
        </w:rPr>
        <w:t xml:space="preserve">
      </w:t>
      </w:r>
      <w:r>
        <w:rPr>
          <w:rFonts w:ascii="Times New Roman"/>
          <w:b w:val="false"/>
          <w:i w:val="false"/>
          <w:color w:val="000000"/>
          <w:sz w:val="28"/>
        </w:rPr>
        <w:t>МК АЖ – мемлекеттік корпорация ақпараттық жүйесі</w:t>
      </w:r>
      <w:r>
        <w:br/>
      </w:r>
      <w:r>
        <w:rPr>
          <w:rFonts w:ascii="Times New Roman"/>
          <w:b w:val="false"/>
          <w:i w:val="false"/>
          <w:color w:val="000000"/>
          <w:sz w:val="28"/>
        </w:rPr>
        <w:t xml:space="preserve">
      </w:t>
      </w:r>
      <w:r>
        <w:rPr>
          <w:rFonts w:ascii="Times New Roman"/>
          <w:b w:val="false"/>
          <w:i w:val="false"/>
          <w:color w:val="000000"/>
          <w:sz w:val="28"/>
        </w:rPr>
        <w:t>ЭҮШ – "электрондық үкіметтің" шлюзі</w:t>
      </w:r>
      <w:r>
        <w:br/>
      </w:r>
      <w:r>
        <w:rPr>
          <w:rFonts w:ascii="Times New Roman"/>
          <w:b w:val="false"/>
          <w:i w:val="false"/>
          <w:color w:val="000000"/>
          <w:sz w:val="28"/>
        </w:rPr>
        <w:t xml:space="preserve">
      </w:t>
      </w:r>
      <w:r>
        <w:rPr>
          <w:rFonts w:ascii="Times New Roman"/>
          <w:b w:val="false"/>
          <w:i w:val="false"/>
          <w:color w:val="000000"/>
          <w:sz w:val="28"/>
        </w:rPr>
        <w:t>ЭЦҚ – электрондық цифрлық қолтаңба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"Мұрағат анықтамаларын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03" w:id="1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0"/>
    <w:bookmarkStart w:name="z104" w:id="11"/>
    <w:p>
      <w:pPr>
        <w:spacing w:after="0"/>
        <w:ind w:left="0"/>
        <w:jc w:val="left"/>
      </w:pPr>
    </w:p>
    <w:bookmarkEnd w:id="11"/>
    <w:p>
      <w:pPr>
        <w:spacing w:after="0"/>
        <w:ind w:left="0"/>
        <w:jc w:val="both"/>
      </w:pPr>
      <w:r>
        <w:drawing>
          <wp:inline distT="0" distB="0" distL="0" distR="0">
            <wp:extent cx="7810500" cy="141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4198600"/>
                    </a:xfrm>
                    <a:prstGeom prst="rect">
                      <a:avLst/>
                    </a:prstGeom>
                  </pic:spPr>
                </pic:pic>
              </a:graphicData>
            </a:graphic>
          </wp:inline>
        </w:drawing>
      </w:r>
    </w:p>
    <w:p>
      <w:pPr>
        <w:spacing w:after="0"/>
        <w:ind w:left="0"/>
        <w:jc w:val="left"/>
      </w:pPr>
      <w:r>
        <w:br/>
      </w:r>
    </w:p>
    <w:bookmarkStart w:name="z105" w:id="12"/>
    <w:p>
      <w:pPr>
        <w:spacing w:after="0"/>
        <w:ind w:left="0"/>
        <w:jc w:val="left"/>
      </w:pPr>
    </w:p>
    <w:bookmarkEnd w:id="12"/>
    <w:p>
      <w:pPr>
        <w:spacing w:after="0"/>
        <w:ind w:left="0"/>
        <w:jc w:val="both"/>
      </w:pPr>
      <w:r>
        <w:drawing>
          <wp:inline distT="0" distB="0" distL="0" distR="0">
            <wp:extent cx="495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69900"/>
                    </a:xfrm>
                    <a:prstGeom prst="rect">
                      <a:avLst/>
                    </a:prstGeom>
                  </pic:spPr>
                </pic:pic>
              </a:graphicData>
            </a:graphic>
          </wp:inline>
        </w:drawing>
      </w:r>
    </w:p>
    <w:p>
      <w:pPr>
        <w:spacing w:after="0"/>
        <w:ind w:left="0"/>
        <w:jc w:val="both"/>
      </w:pPr>
      <w:r>
        <w:drawing>
          <wp:inline distT="0" distB="0" distL="0" distR="0">
            <wp:extent cx="495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4699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p>
    <w:bookmarkStart w:name="z106" w:id="13"/>
    <w:p>
      <w:pPr>
        <w:spacing w:after="0"/>
        <w:ind w:left="0"/>
        <w:jc w:val="left"/>
      </w:pPr>
    </w:p>
    <w:bookmarkEnd w:id="13"/>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1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"Мұрағат анықтамаларын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08" w:id="1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4"/>
    <w:bookmarkStart w:name="z109" w:id="15"/>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5"/>
    <w:bookmarkStart w:name="z110" w:id="16"/>
    <w:p>
      <w:pPr>
        <w:spacing w:after="0"/>
        <w:ind w:left="0"/>
        <w:jc w:val="left"/>
      </w:pPr>
    </w:p>
    <w:bookmarkEnd w:id="16"/>
    <w:p>
      <w:pPr>
        <w:spacing w:after="0"/>
        <w:ind w:left="0"/>
        <w:jc w:val="both"/>
      </w:pPr>
      <w:r>
        <w:drawing>
          <wp:inline distT="0" distB="0" distL="0" distR="0">
            <wp:extent cx="7188200" cy="141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88200" cy="14135100"/>
                    </a:xfrm>
                    <a:prstGeom prst="rect">
                      <a:avLst/>
                    </a:prstGeom>
                  </pic:spPr>
                </pic:pic>
              </a:graphicData>
            </a:graphic>
          </wp:inline>
        </w:drawing>
      </w:r>
    </w:p>
    <w:p>
      <w:pPr>
        <w:spacing w:after="0"/>
        <w:ind w:left="0"/>
        <w:jc w:val="left"/>
      </w:pPr>
      <w:r>
        <w:br/>
      </w:r>
    </w:p>
    <w:bookmarkStart w:name="z111" w:id="17"/>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7"/>
    <w:bookmarkStart w:name="z112" w:id="18"/>
    <w:p>
      <w:pPr>
        <w:spacing w:after="0"/>
        <w:ind w:left="0"/>
        <w:jc w:val="left"/>
      </w:pPr>
    </w:p>
    <w:bookmarkEnd w:id="18"/>
    <w:p>
      <w:pPr>
        <w:spacing w:after="0"/>
        <w:ind w:left="0"/>
        <w:jc w:val="both"/>
      </w:pPr>
      <w:r>
        <w:drawing>
          <wp:inline distT="0" distB="0" distL="0" distR="0">
            <wp:extent cx="7810500" cy="1254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547600"/>
                    </a:xfrm>
                    <a:prstGeom prst="rect">
                      <a:avLst/>
                    </a:prstGeom>
                  </pic:spPr>
                </pic:pic>
              </a:graphicData>
            </a:graphic>
          </wp:inline>
        </w:drawing>
      </w:r>
    </w:p>
    <w:p>
      <w:pPr>
        <w:spacing w:after="0"/>
        <w:ind w:left="0"/>
        <w:jc w:val="left"/>
      </w:pPr>
      <w:r>
        <w:br/>
      </w:r>
    </w:p>
    <w:bookmarkStart w:name="z113" w:id="19"/>
    <w:p>
      <w:pPr>
        <w:spacing w:after="0"/>
        <w:ind w:left="0"/>
        <w:jc w:val="left"/>
      </w:pPr>
      <w:r>
        <w:rPr>
          <w:rFonts w:ascii="Times New Roman"/>
          <w:b/>
          <w:i w:val="false"/>
          <w:color w:val="000000"/>
        </w:rPr>
        <w:t xml:space="preserve"> 3) портал арқылы мемлекеттік қызмет көрсету кезінде</w:t>
      </w:r>
    </w:p>
    <w:bookmarkEnd w:id="19"/>
    <w:bookmarkStart w:name="z114" w:id="20"/>
    <w:p>
      <w:pPr>
        <w:spacing w:after="0"/>
        <w:ind w:left="0"/>
        <w:jc w:val="left"/>
      </w:pPr>
    </w:p>
    <w:bookmarkEnd w:id="20"/>
    <w:p>
      <w:pPr>
        <w:spacing w:after="0"/>
        <w:ind w:left="0"/>
        <w:jc w:val="both"/>
      </w:pPr>
      <w:r>
        <w:drawing>
          <wp:inline distT="0" distB="0" distL="0" distR="0">
            <wp:extent cx="7810500" cy="1220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2204700"/>
                    </a:xfrm>
                    <a:prstGeom prst="rect">
                      <a:avLst/>
                    </a:prstGeom>
                  </pic:spPr>
                </pic:pic>
              </a:graphicData>
            </a:graphic>
          </wp:inline>
        </w:drawing>
      </w:r>
    </w:p>
    <w:p>
      <w:pPr>
        <w:spacing w:after="0"/>
        <w:ind w:left="0"/>
        <w:jc w:val="left"/>
      </w:pPr>
      <w:r>
        <w:br/>
      </w:r>
    </w:p>
    <w:bookmarkStart w:name="z115" w:id="21"/>
    <w:p>
      <w:pPr>
        <w:spacing w:after="0"/>
        <w:ind w:left="0"/>
        <w:jc w:val="left"/>
      </w:pPr>
      <w:r>
        <w:rPr>
          <w:rFonts w:ascii="Times New Roman"/>
          <w:b/>
          <w:i w:val="false"/>
          <w:color w:val="000000"/>
        </w:rPr>
        <w:t xml:space="preserve"> Шартты белгілер:</w:t>
      </w:r>
    </w:p>
    <w:bookmarkEnd w:id="21"/>
    <w:bookmarkStart w:name="z116" w:id="22"/>
    <w:p>
      <w:pPr>
        <w:spacing w:after="0"/>
        <w:ind w:left="0"/>
        <w:jc w:val="left"/>
      </w:pPr>
    </w:p>
    <w:bookmarkEnd w:id="22"/>
    <w:p>
      <w:pPr>
        <w:spacing w:after="0"/>
        <w:ind w:left="0"/>
        <w:jc w:val="both"/>
      </w:pPr>
      <w:r>
        <w:drawing>
          <wp:inline distT="0" distB="0" distL="0" distR="0">
            <wp:extent cx="77343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34300" cy="4533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