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1816" w14:textId="7071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Оңтстүiк Қазақстан облысы Сарыағаш ауданы әкiмдiгiнiң 2016 жылғы 3 ақпандағы № 45 қаулысы. Оңтүстiк Қазақстан облысының Әдiлет департаментiнде 2016 жылғы 5 наурызда № 3617 болып тiркелдi. Күші жойылды - Оңтүстік Қазақстан облысы Сарыағаш ауданы әкімдігінің 2016 жылғы 3 маусымдағы № 288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Сарыағаш ауданы әкімдігінің 03.06.2016 № 288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Сарыағаш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Сарыағаш ауданы әкімі аппаратының басшысы Ж.Әлсеитовке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2016 жылғы "3" ақпандағы</w:t>
            </w:r>
            <w:r>
              <w:br/>
            </w:r>
            <w:r>
              <w:rPr>
                <w:rFonts w:ascii="Times New Roman"/>
                <w:b w:val="false"/>
                <w:i w:val="false"/>
                <w:color w:val="000000"/>
                <w:sz w:val="20"/>
              </w:rPr>
              <w:t>№ 45 қаулысымен бекiтiлген</w:t>
            </w:r>
          </w:p>
        </w:tc>
      </w:tr>
    </w:tbl>
    <w:bookmarkStart w:name="z6" w:id="0"/>
    <w:p>
      <w:pPr>
        <w:spacing w:after="0"/>
        <w:ind w:left="0"/>
        <w:jc w:val="left"/>
      </w:pPr>
      <w:r>
        <w:rPr>
          <w:rFonts w:ascii="Times New Roman"/>
          <w:b/>
          <w:i w:val="false"/>
          <w:color w:val="000000"/>
        </w:rPr>
        <w:t xml:space="preserve"> Сарыағаш ауданы әкiмдігінің регламентi</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Сарыағаш ауданы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әкiмдік мүшелерiнiң және жергілікті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 xml:space="preserve">12. Әкiмдiктiң мәжiлiстерiнде Қазақстан Республикасы Парламентiнiң, мәслихаттың депутаттары, аудандардың, қалалардың әкiмдерi, сондай-ақ әкiм бекiткен тiзбе бойынша кеңесшi дауыс құқығымен орталық атқарушы органдар аумақтық бөлiмшелерiнiң басшылары және өзге де лауазымды адамдар қатыса алады. </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және мәселе енгізетін орган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w:t>
      </w:r>
      <w:r>
        <w:br/>
      </w:r>
      <w:r>
        <w:rPr>
          <w:rFonts w:ascii="Times New Roman"/>
          <w:b w:val="false"/>
          <w:i w:val="false"/>
          <w:color w:val="000000"/>
          <w:sz w:val="28"/>
        </w:rPr>
        <w:t>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"Нормативтiк құқықтық актілерді ресiмдеу және келiсу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және "Нормативтiк құқықтық актілерді мемлекеттiк тiркеу қағидаларын бекiту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w:t>
      </w:r>
      <w:r>
        <w:br/>
      </w:r>
      <w:r>
        <w:rPr>
          <w:rFonts w:ascii="Times New Roman"/>
          <w:b w:val="false"/>
          <w:i w:val="false"/>
          <w:color w:val="000000"/>
          <w:sz w:val="28"/>
        </w:rPr>
        <w:t>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аудан әкімдігінің интернет-ресурсы, сондай-ақ аудан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әкiмінiң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облыс, аудан әкiмдіктерінің және облыс, аудан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облыс, аудан әкiмдіктерінің және облыс аудан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w:t>
      </w:r>
      <w:r>
        <w:br/>
      </w:r>
      <w:r>
        <w:rPr>
          <w:rFonts w:ascii="Times New Roman"/>
          <w:b w:val="false"/>
          <w:i w:val="false"/>
          <w:color w:val="000000"/>
          <w:sz w:val="28"/>
        </w:rPr>
        <w:t>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Аппарат заң актілерінің, Республика Президентiнiң, Республика Yкiметiнiң, Премьер-Министрiнiң, облыс, аудан әкiмдіктерінің, облыс және аудан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40. Әкiмнiң орынбасарлары, аппарат басшысы заң актілерін, Республика Президентiнiң, Республика Yкiметiнiң, Премьер-Министрiнiң, облыс, аудан әкімдіктерінің, облыс және аудан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Нормативтік құқықтық актілердің құқықтық мониторингін жүргізу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Нормативтік құқықтық актілердің құқықтық мониторингі аппаратпен, аудандық жергілікті атқарушы органдармен, қала, кент, ауыл,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42.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43.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44.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45.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46.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47. Аппарат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48.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49.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50.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w:t>
      </w:r>
      <w:r>
        <w:rPr>
          <w:rFonts w:ascii="Times New Roman"/>
          <w:b w:val="false"/>
          <w:i w:val="false"/>
          <w:color w:val="000000"/>
          <w:sz w:val="28"/>
        </w:rPr>
        <w:t>51.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 xml:space="preserve">52.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