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15d4" w14:textId="6d91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Ордабасы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2016 жылғы 2 наурыздағы № 53/3 шешімі. Оңтүстік Қазақстан облысының Әділет департаментінде 2016 жылғы 30 наурызда № 3675 болып тіркелді. Күші жойылды - Оңтүстік Қазақстан облысы Ордабасы аудандық мәслихатының 2017 жылғы 29 наурызда № 11/7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Ордабасы аудандық мәслихатының 29.03.2017 № 11/7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Ордабасы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 </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С.Абжалов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2016 жылғы 2 наурыздағы</w:t>
            </w:r>
            <w:r>
              <w:br/>
            </w:r>
            <w:r>
              <w:rPr>
                <w:rFonts w:ascii="Times New Roman"/>
                <w:b w:val="false"/>
                <w:i w:val="false"/>
                <w:color w:val="000000"/>
                <w:sz w:val="20"/>
              </w:rPr>
              <w:t>№ 53/3 шешімімен бекітілген</w:t>
            </w:r>
          </w:p>
        </w:tc>
      </w:tr>
    </w:tbl>
    <w:bookmarkStart w:name="z5" w:id="0"/>
    <w:p>
      <w:pPr>
        <w:spacing w:after="0"/>
        <w:ind w:left="0"/>
        <w:jc w:val="left"/>
      </w:pPr>
      <w:r>
        <w:rPr>
          <w:rFonts w:ascii="Times New Roman"/>
          <w:b/>
          <w:i w:val="false"/>
          <w:color w:val="000000"/>
        </w:rPr>
        <w:t xml:space="preserve"> "Б" корпусы Ордабасы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Ордабасы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Ордабасы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Ордабасы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