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fdb2" w14:textId="95bf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21 желтоқсандағы № 340-V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2016 жылғы 4 қарашадағы № 58-VI шешімі. Атырау облысының Әділет департаментінде 2016 жылғы 18 қарашада № 3676 болып тіркелді. Күші жойылды - Атырау облысы Мақат аудандық мәслихатының 2017 жылғы 29 наурыздағы № 96-VI шешімімен</w:t>
      </w:r>
    </w:p>
    <w:p>
      <w:pPr>
        <w:spacing w:after="0"/>
        <w:ind w:left="0"/>
        <w:jc w:val="left"/>
      </w:pPr>
      <w:r>
        <w:rPr>
          <w:rFonts w:ascii="Times New Roman"/>
          <w:b w:val="false"/>
          <w:i w:val="false"/>
          <w:color w:val="ff0000"/>
          <w:sz w:val="28"/>
        </w:rPr>
        <w:t xml:space="preserve">      Ескерту. Күші жойылды - Атырау облысы Мақат аудандық мәслихатының 29.03.2017 № </w:t>
      </w:r>
      <w:r>
        <w:rPr>
          <w:rFonts w:ascii="Times New Roman"/>
          <w:b w:val="false"/>
          <w:i w:val="false"/>
          <w:color w:val="ff0000"/>
          <w:sz w:val="28"/>
        </w:rPr>
        <w:t>96-VI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2016-2018 жылдарға арналған аудан бюджетін нақтылау туралы ұсынысын қарап, аудандық мәслихат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21 желтоқсандағы ХХХІХ сессиясының № 340-V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3441 тіркелген, 2016 жылғы 28 қаңтарда "Мақат тынысы"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тармақтың: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"4 159 257" сандары "4 097 874" сандарымен ауыстырылсын;</w:t>
      </w:r>
      <w:r>
        <w:br/>
      </w:r>
      <w:r>
        <w:rPr>
          <w:rFonts w:ascii="Times New Roman"/>
          <w:b w:val="false"/>
          <w:i w:val="false"/>
          <w:color w:val="000000"/>
          <w:sz w:val="28"/>
        </w:rPr>
        <w:t>
      </w:t>
      </w:r>
      <w:r>
        <w:rPr>
          <w:rFonts w:ascii="Times New Roman"/>
          <w:b w:val="false"/>
          <w:i w:val="false"/>
          <w:color w:val="000000"/>
          <w:sz w:val="28"/>
        </w:rPr>
        <w:t>"1 885 333" сандары "1 766 336" сандарымен ауыстырылсын;</w:t>
      </w:r>
      <w:r>
        <w:br/>
      </w:r>
      <w:r>
        <w:rPr>
          <w:rFonts w:ascii="Times New Roman"/>
          <w:b w:val="false"/>
          <w:i w:val="false"/>
          <w:color w:val="000000"/>
          <w:sz w:val="28"/>
        </w:rPr>
        <w:t>
      </w:t>
      </w:r>
      <w:r>
        <w:rPr>
          <w:rFonts w:ascii="Times New Roman"/>
          <w:b w:val="false"/>
          <w:i w:val="false"/>
          <w:color w:val="000000"/>
          <w:sz w:val="28"/>
        </w:rPr>
        <w:t>"5 500" сандары "6 938" сандарымен ауыстырылсын;</w:t>
      </w:r>
      <w:r>
        <w:br/>
      </w:r>
      <w:r>
        <w:rPr>
          <w:rFonts w:ascii="Times New Roman"/>
          <w:b w:val="false"/>
          <w:i w:val="false"/>
          <w:color w:val="000000"/>
          <w:sz w:val="28"/>
        </w:rPr>
        <w:t>
      </w:t>
      </w:r>
      <w:r>
        <w:rPr>
          <w:rFonts w:ascii="Times New Roman"/>
          <w:b w:val="false"/>
          <w:i w:val="false"/>
          <w:color w:val="000000"/>
          <w:sz w:val="28"/>
        </w:rPr>
        <w:t>"20 500" сандары "75 570" сандарымен ауыстырылсын;</w:t>
      </w:r>
      <w:r>
        <w:br/>
      </w:r>
      <w:r>
        <w:rPr>
          <w:rFonts w:ascii="Times New Roman"/>
          <w:b w:val="false"/>
          <w:i w:val="false"/>
          <w:color w:val="000000"/>
          <w:sz w:val="28"/>
        </w:rPr>
        <w:t>
      </w:t>
      </w:r>
      <w:r>
        <w:rPr>
          <w:rFonts w:ascii="Times New Roman"/>
          <w:b w:val="false"/>
          <w:i w:val="false"/>
          <w:color w:val="000000"/>
          <w:sz w:val="28"/>
        </w:rPr>
        <w:t>"2 124 373" сандары "2 243 581 "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"4 191 995" сандары "4 130 612"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"жергілікті бюджеттердін шығындарын өтеуді қамтамасыз етуге -162 535 мың теңге;"</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16 тармақпен</w:t>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 xml:space="preserve">"16. 04 1 123 004 "Мектепке дейінгі тәрбие мен оқыту ұймдарының қызметін қамтамасыз ету" бағдарламасы 015 "Жергілікті бюджет қаражаты есебінен" кіші бағдарламасының 159 "Өзге де қызметтермен жұмыстарға ақы төлеу" ерекшелігі бойынша жұмсалған 162 535 000 теңге кассалық шығындары 011 "Республикалық бюджеттен берілген трансферттер есебінен" кіші бағдарламасының 159 "Өзге де қызметтермен жұмыстарға ақы төлеу" ерекшелігіне жылжытылсын."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қосымшалары</w:t>
      </w:r>
      <w:r>
        <w:rPr>
          <w:rFonts w:ascii="Times New Roman"/>
          <w:b w:val="false"/>
          <w:i w:val="false"/>
          <w:color w:val="000000"/>
          <w:sz w:val="28"/>
        </w:rPr>
        <w:t xml:space="preserve"> осы шешімнің №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(Б. Аманғалиев) жүктелсін.</w:t>
      </w:r>
      <w:r>
        <w:br/>
      </w:r>
      <w:r>
        <w:rPr>
          <w:rFonts w:ascii="Times New Roman"/>
          <w:b w:val="false"/>
          <w:i w:val="false"/>
          <w:color w:val="000000"/>
          <w:sz w:val="28"/>
        </w:rPr>
        <w:t>
      </w:t>
      </w:r>
      <w:r>
        <w:rPr>
          <w:rFonts w:ascii="Times New Roman"/>
          <w:b w:val="false"/>
          <w:i w:val="false"/>
          <w:color w:val="000000"/>
          <w:sz w:val="28"/>
        </w:rPr>
        <w:t>4.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br/>
            </w:r>
            <w:r>
              <w:rPr>
                <w:rFonts w:ascii="Times New Roman"/>
                <w:b w:val="false"/>
                <w:i/>
                <w:color w:val="000000"/>
                <w:sz w:val="20"/>
              </w:rPr>
              <w:t>тыс VІІ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қарашадағы аудандық мәслихаттың № 58-VІ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 аудандық мәслихаттың № 340-V шешіміне № 1 қосымша</w:t>
            </w:r>
          </w:p>
        </w:tc>
      </w:tr>
    </w:tbl>
    <w:bookmarkStart w:name="z26"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1265"/>
        <w:gridCol w:w="6868"/>
        <w:gridCol w:w="2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4097874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1766336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1236774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1201510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38063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меншігінен түсетін басқада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түсітен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түсітен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аөқша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аөқша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75570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2243581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2243581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2243581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465"/>
        <w:gridCol w:w="2079"/>
        <w:gridCol w:w="4190"/>
        <w:gridCol w:w="37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07"/>
        <w:gridCol w:w="107"/>
        <w:gridCol w:w="107"/>
        <w:gridCol w:w="107"/>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019"/>
              <w:gridCol w:w="1202"/>
              <w:gridCol w:w="1202"/>
              <w:gridCol w:w="5345"/>
              <w:gridCol w:w="2676"/>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4130612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255328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172643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68726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65235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83321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74873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81068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2274003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477652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446481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ұйымдарынын қызметән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286852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159629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1605859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1564907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1456330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108577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190492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190492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62797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77633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55698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347037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214520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191588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сату алу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190088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99065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99065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94142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205453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106276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29364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29364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45428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45428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саясатты жүргізу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бағынастағы мемлекеттік мекемелердің және үйымдарының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бағынастағы мемлекеттік мекемелердің және үйымдарының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шұңқырларлың) жұмыс істеуін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қойлатын және жойылатын ауру жануарлардың, жануарлардан алынатын өнімдер мен шикізаттың құнын иелеріне өтеуге</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27565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27565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сәулет және қала құрылысы бөлімі </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748640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748640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748640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748640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75283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62431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несиелерді қайтару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36"/>
        <w:gridCol w:w="1471"/>
        <w:gridCol w:w="1471"/>
        <w:gridCol w:w="4949"/>
        <w:gridCol w:w="23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әдеуметтік қолдау шараларын іске асыруға берілетін бюджеттік несиелер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қарашадағы аудандық мәслихаттың № 58-VІ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 аудандық мәслихаттың № 340-V шешіміне № 4 қосымша</w:t>
            </w:r>
          </w:p>
        </w:tc>
      </w:tr>
    </w:tbl>
    <w:bookmarkStart w:name="z302" w:id="1"/>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бюджеттік бағдарламаларының қаржыландыру мөлшері: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3781"/>
        <w:gridCol w:w="1947"/>
        <w:gridCol w:w="1947"/>
        <w:gridCol w:w="1643"/>
        <w:gridCol w:w="1948"/>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атауы</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Макат кенті әкімінің аппараты</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Доссор кенті әкімінің аппараты</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Бәйгетобе ауылдық округі әкімінің аппараты</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32827</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30870</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11176</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74873</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10765</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7545</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158740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128112</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286852</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Аулдық жерлерде балаларды мектепке дейін тегіне алып баруды және кері алып келуді ұйымдастыру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мәдени-демалыс жұмыстарын қолдау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26364</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26364</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7184</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11187</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27587</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122275</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37354</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159629</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4615</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364368</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250547</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13976</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628891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қарашадағы аудандық мәслихаттың № 58-VІ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 аудандық мәслихаттың № 340-V шешіміне № 6 қосымша</w:t>
            </w:r>
          </w:p>
        </w:tc>
      </w:tr>
    </w:tbl>
    <w:bookmarkStart w:name="z319" w:id="2"/>
    <w:p>
      <w:pPr>
        <w:spacing w:after="0"/>
        <w:ind w:left="0"/>
        <w:jc w:val="left"/>
      </w:pPr>
      <w:r>
        <w:rPr>
          <w:rFonts w:ascii="Times New Roman"/>
          <w:b/>
          <w:i w:val="false"/>
          <w:color w:val="000000"/>
        </w:rPr>
        <w:t xml:space="preserve"> Жергілікті өзін-өзі басқару органдарына берілетін трансферттердің бөліндісі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653"/>
        <w:gridCol w:w="2499"/>
        <w:gridCol w:w="2500"/>
        <w:gridCol w:w="1574"/>
        <w:gridCol w:w="2501"/>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атауы</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Макат кенті әкімінің аппараты</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Доссор кенті әкімінің аппараты</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Бәйгетөбе ауылдық округі әкімінің аппараты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