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eff4" w14:textId="5ac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Есбол ауылдық округіндегі елді мекендерінің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Есбол ауылдық округі әкімінің 2016 жылғы 13 қазандағы № 15 шешімі. Атырау облысының Әділет департаментінде 2016 жылғы 01 қарашада № 3659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Есбол ауылдық округі халқының пікірін ескеріп және Атырау облыстық ономастика комиссиясының 2016 жылғы 13 сәуірдегі қорытындысы негізінде Есбол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Есбол ауылдық округінің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Ортақшыл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"Исатай"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"Абай"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көше – "Жолдас Жаскеленов"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көше – "Махамбет"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көше – "Жабу Дөкесов"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көше – "Сағын Алпатанов"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Жетінші көше – "Кеңес"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Сегізінші көше – "Құрманғазы"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Тоғызыншы көше – "Алаш Тұржанов"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Есбол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"Абай"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– "Исатай"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көше – "Махамбет"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Еңбекшіл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көше – "Мұстафа Шоқай" есімі.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Әділғалиев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