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b630" w14:textId="ee9b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2016 жылғы 26 сәуірдегі № 22 шешімі. Атырау облысының Әділет департаментінде 2016 жылғы 11 мамырда № 3506 болып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2016 жылғы 21 мамырдағы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қаулысына сәйкес және аудан әкімдігінің қаулысын қарап, Махамбет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Аудандық мәслихаттың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2801 санымен тіркелген, "Жайық шұғыласы " газетінің 2013 жылғы 19 желтоқсанында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2-қосымшасының</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8-жолдағы "5 000" деген сандар "100 000" деген сандармен ауыстырылсын.</w:t>
      </w:r>
    </w:p>
    <w:bookmarkEnd w:id="2"/>
    <w:bookmarkStart w:name="z7" w:id="3"/>
    <w:p>
      <w:pPr>
        <w:spacing w:after="0"/>
        <w:ind w:left="0"/>
        <w:jc w:val="both"/>
      </w:pPr>
      <w:r>
        <w:rPr>
          <w:rFonts w:ascii="Times New Roman"/>
          <w:b w:val="false"/>
          <w:i w:val="false"/>
          <w:color w:val="000000"/>
          <w:sz w:val="28"/>
        </w:rPr>
        <w:t>
      9-жолдағы "5 000" деген сан "100 000" деген санмен ауыстырылсын.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комиссиясына (Р.Тұрдағали)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bookmarkStart w:name="z10" w:id="6"/>
    <w:p>
      <w:pPr>
        <w:spacing w:after="0"/>
        <w:ind w:left="0"/>
        <w:jc w:val="both"/>
      </w:pPr>
      <w:r>
        <w:rPr>
          <w:rFonts w:ascii="Times New Roman"/>
          <w:b w:val="false"/>
          <w:i w:val="false"/>
          <w:color w:val="000000"/>
          <w:sz w:val="28"/>
        </w:rPr>
        <w:t>
      4. Осы шешім 2016 жылдың 31 желтоқсанына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ІІ-сессиясының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