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8051" w14:textId="b898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жылы әлеуметтік қолдау шараларын ұсыну өлшерін айқындау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2016 жылғы 16 наурыздағы № 48-1 шешімі. Солтүстік Қазақстан облысының Әділет департаментінде 2016 жылғы 7 сәуірде N 3692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Аудан әкімімен мәлімделген қажеттілікті ескере отырып, Мағжан Жұмабаев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жылы ұсынылсын:</w:t>
      </w:r>
      <w:r>
        <w:br/>
      </w:r>
      <w:r>
        <w:rPr>
          <w:rFonts w:ascii="Times New Roman"/>
          <w:b w:val="false"/>
          <w:i w:val="false"/>
          <w:color w:val="000000"/>
          <w:sz w:val="28"/>
        </w:rPr>
        <w:t>
      </w:t>
      </w:r>
      <w:r>
        <w:rPr>
          <w:rFonts w:ascii="Times New Roman"/>
          <w:b w:val="false"/>
          <w:i w:val="false"/>
          <w:color w:val="000000"/>
          <w:sz w:val="28"/>
        </w:rPr>
        <w:t>1) өтініш берген кезеңіне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өтініш берген кезеңіне тұрғын үй сатып алу немесе салу үшін бір мың бес жүз еселік айлық есептік көрсеткіштен аспайтын сомада бюджеттік кредит түрінде әлеуметтік қолдау.</w:t>
      </w:r>
      <w:r>
        <w:br/>
      </w:r>
      <w:r>
        <w:rPr>
          <w:rFonts w:ascii="Times New Roman"/>
          <w:b w:val="false"/>
          <w:i w:val="false"/>
          <w:color w:val="000000"/>
          <w:sz w:val="28"/>
        </w:rPr>
        <w:t>
      </w:t>
      </w:r>
      <w:r>
        <w:rPr>
          <w:rFonts w:ascii="Times New Roman"/>
          <w:b w:val="false"/>
          <w:i w:val="false"/>
          <w:color w:val="000000"/>
          <w:sz w:val="28"/>
        </w:rPr>
        <w:t>2. Осы шешімнің 1-тармағындағы 1) және 2) тармақшалардың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Баймұратов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Мағжан Жұмабаев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