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cdbd" w14:textId="01cc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2017 жылғы қаңтар-наурыз аралығында Қазақстан Республикасының ер азаматтарын есепке алу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Қызылжар аудандық әкімінің 2016 жылғы 18 қарашадағы № 20 шешімі. Солтүстік Қазақстан облысының Әділет департаментінде 2016 жылғы 8 желтоқсанда N 3950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жылғы қаңтар-наурыз аралығында Қазақстан Республикасы Қорғаныс Министрлігінің "Солтүстік Қазақстан облысы Қызылжар ауданының қорғаныс істері жөніндегі бөлім" республикалық мемлекеттік мекемесінің (келісім бойынша) әскерге шақыру учаскесіне тіркеуге тұратын жылы он жеті жасқа толатын Қазақстан Республикасының ер азаматтарын есепке алу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Қызылжар ауданы әкімінің әлеуметтік мәселелер жөніндегі орынбасары М. М. Жұмабаеваға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түрде жарияланғаннан кейін он күнтізбелік күн мерзім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Қызылжар ауданының </w:t>
            </w:r>
            <w:r>
              <w:br/>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 xml:space="preserve">бөлім" республикалық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18 қараша 2016 жыл</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 Бикешев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