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6a95" w14:textId="0746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2015 жылғы 19 қазандағы № 45/286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2016 жылғы 25 сәуірдегі № 2/10 шешімі. Солтүстік Қазақстан облысының Әділет департаментінде 2016 жылғы 25 мамырда N 3767 болып тіркелді. Күші жойылды – Солтүстік Қазақстан облысы Есіл ауданы мәслихатының 2017 жылғы 16 наурыздағы № 11/61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мәслихатының 16.03.2017 </w:t>
      </w:r>
      <w:r>
        <w:rPr>
          <w:rFonts w:ascii="Times New Roman"/>
          <w:b w:val="false"/>
          <w:i w:val="false"/>
          <w:color w:val="ff0000"/>
          <w:sz w:val="28"/>
        </w:rPr>
        <w:t>№ 11/61</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Есіл ауданы мәслихатының 2015 жылғы 19 қазандағы № 45/286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3467 тіркелді, 2015 жылғы 25 желтоқсанда "Есіл Таңы" және "Ишим" газеттерінде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10474 болып тіркелген) сәйкес әзірленді және өмірлік қиын жағдай туындаған кезде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 Әлеуметтік көмек көрсетуге адамның (отбасының) жан басына шаққандағы орташа табысы шартты ақшалай көмек тағайындауға өтініш білдірген айдың алдындағы үш айда ақшалай, сол сияқты заттай нысанда алынған табыстың жалпы сомасын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 (нормативтік құқықтық актілердің мемлекеттік тіркеу Тізімінде № 5757 болып тіркелген).";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"37.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 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39-тармағында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3-қосымша</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2016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Қ.Әбілғазин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2016 жылғы 19 мамыр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Солтүстік Қазақстан облысы</w:t>
            </w:r>
            <w:r>
              <w:rPr>
                <w:rFonts w:ascii="Times New Roman"/>
                <w:b w:val="false"/>
                <w:i w:val="false"/>
                <w:color w:val="000000"/>
                <w:sz w:val="20"/>
              </w:rPr>
              <w:t xml:space="preserve"> </w:t>
            </w:r>
            <w:r>
              <w:rPr>
                <w:rFonts w:ascii="Times New Roman"/>
                <w:b/>
                <w:i w:val="false"/>
                <w:color w:val="000000"/>
                <w:sz w:val="20"/>
              </w:rPr>
              <w:t>Есіл ауданы мәслихатының</w:t>
            </w:r>
            <w:r>
              <w:rPr>
                <w:rFonts w:ascii="Times New Roman"/>
                <w:b w:val="false"/>
                <w:i w:val="false"/>
                <w:color w:val="000000"/>
                <w:sz w:val="20"/>
              </w:rPr>
              <w:t xml:space="preserve"> </w:t>
            </w:r>
            <w:r>
              <w:rPr>
                <w:rFonts w:ascii="Times New Roman"/>
                <w:b/>
                <w:i w:val="false"/>
                <w:color w:val="000000"/>
                <w:sz w:val="20"/>
              </w:rPr>
              <w:t>201</w:t>
            </w:r>
            <w:r>
              <w:rPr>
                <w:rFonts w:ascii="Times New Roman"/>
                <w:b/>
                <w:i w:val="false"/>
                <w:color w:val="000000"/>
                <w:sz w:val="20"/>
              </w:rPr>
              <w:t>6</w:t>
            </w:r>
            <w:r>
              <w:rPr>
                <w:rFonts w:ascii="Times New Roman"/>
                <w:b/>
                <w:i w:val="false"/>
                <w:color w:val="000000"/>
                <w:sz w:val="20"/>
              </w:rPr>
              <w:t xml:space="preserve"> жылғы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сәуірдегі</w:t>
            </w:r>
            <w:r>
              <w:rPr>
                <w:rFonts w:ascii="Times New Roman"/>
                <w:b w:val="false"/>
                <w:i w:val="false"/>
                <w:color w:val="000000"/>
                <w:sz w:val="20"/>
              </w:rPr>
              <w:t xml:space="preserve"> </w:t>
            </w:r>
            <w:r>
              <w:rPr>
                <w:rFonts w:ascii="Times New Roman"/>
                <w:b/>
                <w:i w:val="false"/>
                <w:color w:val="000000"/>
                <w:sz w:val="20"/>
              </w:rPr>
              <w:t xml:space="preserve">№ </w:t>
            </w:r>
            <w:r>
              <w:rPr>
                <w:rFonts w:ascii="Times New Roman"/>
                <w:b/>
                <w:i w:val="false"/>
                <w:color w:val="000000"/>
                <w:sz w:val="20"/>
              </w:rPr>
              <w:t>2/10</w:t>
            </w:r>
            <w:r>
              <w:rPr>
                <w:rFonts w:ascii="Times New Roman"/>
                <w:b/>
                <w:i w:val="false"/>
                <w:color w:val="000000"/>
                <w:sz w:val="20"/>
              </w:rPr>
              <w:t xml:space="preserve"> шешіміне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22" w:id="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амбулаторлық емделуде жатқан азаматтарда туберкулездің белсенді түрінің болуы; </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r>
        <w:br/>
      </w:r>
      <w:r>
        <w:rPr>
          <w:rFonts w:ascii="Times New Roman"/>
          <w:b w:val="false"/>
          <w:i w:val="false"/>
          <w:color w:val="000000"/>
          <w:sz w:val="28"/>
        </w:rPr>
        <w:t>
      </w:t>
      </w:r>
      <w:r>
        <w:rPr>
          <w:rFonts w:ascii="Times New Roman"/>
          <w:b w:val="false"/>
          <w:i w:val="false"/>
          <w:color w:val="000000"/>
          <w:sz w:val="28"/>
        </w:rPr>
        <w:t>21) Солтүстік Қазақстан облысы аумағында орналасқан жоғарғы кәсіби білім беру ұйымдарында күндізгі оқу түрінде оқытып жатқан аз қамтамасыз етілген отбасыларда балалардың бар болуы.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