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bf95" w14:textId="c08b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2016 жылғы 4 наурыздағы № 58/425 шешімі. Павлодар облысының Әділет департаментінде 2016 жылғы 9 наурызда № 4973 болып тіркелді. Күші жойылды - Павлодар облысы Павлодар аудандық мәслихатының 2017 жылғы 17 наурыздағы № 14/98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аудандық мәслихатының 17.03.2017 № 14/98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Павлодар ауданы мәслихатының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Айғазинова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4 наурыздағы</w:t>
            </w:r>
            <w:r>
              <w:br/>
            </w:r>
            <w:r>
              <w:rPr>
                <w:rFonts w:ascii="Times New Roman"/>
                <w:b w:val="false"/>
                <w:i w:val="false"/>
                <w:color w:val="000000"/>
                <w:sz w:val="20"/>
              </w:rPr>
              <w:t>№ 58/425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"Павлодар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Павлодар аудандық мәслихатының аппараты (бұдан әрі – мәслихат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Павлодар ауданы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мәслихат аппаратына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57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673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952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759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93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9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p>
      <w:pPr>
        <w:spacing w:after="0"/>
        <w:ind w:left="0"/>
        <w:jc w:val="both"/>
      </w:pPr>
      <w:r>
        <w:drawing>
          <wp:inline distT="0" distB="0" distL="0" distR="0">
            <wp:extent cx="63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28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60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қызметшісінің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46"/>
        <w:gridCol w:w="6054"/>
      </w:tblGrid>
      <w:tr>
        <w:trPr>
          <w:trHeight w:val="30" w:hRule="atLeast"/>
        </w:trPr>
        <w:tc>
          <w:tcPr>
            <w:tcW w:w="6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________________</w:t>
            </w:r>
            <w:r>
              <w:rPr>
                <w:rFonts w:ascii="Times New Roman"/>
                <w:b w:val="false"/>
                <w:i w:val="false"/>
                <w:color w:val="000000"/>
                <w:sz w:val="20"/>
              </w:rPr>
              <w:t>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_____________________тоқсан___________жыл</w:t>
      </w:r>
      <w:r>
        <w:br/>
      </w:r>
      <w:r>
        <w:rPr>
          <w:rFonts w:ascii="Times New Roman"/>
          <w:b w:val="false"/>
          <w:i/>
          <w:color w:val="000000"/>
          <w:sz w:val="28"/>
        </w:rPr>
        <w:t>(</w:t>
      </w:r>
      <w:r>
        <w:rPr>
          <w:rFonts w:ascii="Times New Roman"/>
          <w:b w:val="false"/>
          <w:i w:val="false"/>
          <w:color w:val="000000"/>
          <w:sz w:val="28"/>
        </w:rPr>
        <w:t>бағаланатын кезең</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w:t>
      </w:r>
      <w:r>
        <w:rPr>
          <w:rFonts w:ascii="Times New Roman"/>
          <w:b w:val="false"/>
          <w:i w:val="false"/>
          <w:color w:val="000000"/>
          <w:sz w:val="28"/>
        </w:rPr>
        <w:t>болған жағдайда</w:t>
      </w:r>
      <w:r>
        <w:rPr>
          <w:rFonts w:ascii="Times New Roman"/>
          <w:b w:val="false"/>
          <w:i/>
          <w:color w:val="000000"/>
          <w:sz w:val="28"/>
        </w:rPr>
        <w:t>)</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6"/>
        <w:gridCol w:w="6424"/>
      </w:tblGrid>
      <w:tr>
        <w:trPr>
          <w:trHeight w:val="30" w:hRule="atLeast"/>
        </w:trPr>
        <w:tc>
          <w:tcPr>
            <w:tcW w:w="58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w:t>
            </w:r>
            <w:r>
              <w:br/>
            </w:r>
            <w:r>
              <w:rPr>
                <w:rFonts w:ascii="Times New Roman"/>
                <w:b w:val="false"/>
                <w:i w:val="false"/>
                <w:color w:val="000000"/>
                <w:sz w:val="20"/>
              </w:rPr>
              <w:t>
</w:t>
            </w:r>
            <w:r>
              <w:rPr>
                <w:rFonts w:ascii="Times New Roman"/>
                <w:b w:val="false"/>
                <w:i/>
                <w:color w:val="000000"/>
                <w:sz w:val="20"/>
              </w:rPr>
              <w:t>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64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w:t>
            </w:r>
            <w:r>
              <w:br/>
            </w:r>
            <w:r>
              <w:rPr>
                <w:rFonts w:ascii="Times New Roman"/>
                <w:b w:val="false"/>
                <w:i w:val="false"/>
                <w:color w:val="000000"/>
                <w:sz w:val="20"/>
              </w:rPr>
              <w:t>
</w:t>
            </w:r>
            <w:r>
              <w:rPr>
                <w:rFonts w:ascii="Times New Roman"/>
                <w:b w:val="false"/>
                <w:i/>
                <w:color w:val="000000"/>
                <w:sz w:val="20"/>
              </w:rPr>
              <w:t>________________</w:t>
            </w:r>
            <w:r>
              <w:rPr>
                <w:rFonts w:ascii="Times New Roman"/>
                <w:b w:val="false"/>
                <w:i w:val="false"/>
                <w:color w:val="000000"/>
                <w:sz w:val="20"/>
              </w:rPr>
              <w:t>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w:t>
      </w:r>
      <w:r>
        <w:rPr>
          <w:rFonts w:ascii="Times New Roman"/>
          <w:b w:val="false"/>
          <w:i w:val="false"/>
          <w:color w:val="000000"/>
          <w:sz w:val="28"/>
        </w:rPr>
        <w:t>болған жағдайда</w:t>
      </w:r>
      <w:r>
        <w:rPr>
          <w:rFonts w:ascii="Times New Roman"/>
          <w:b w:val="false"/>
          <w:i/>
          <w:color w:val="000000"/>
          <w:sz w:val="28"/>
        </w:rPr>
        <w:t>)</w:t>
      </w:r>
      <w:r>
        <w:rPr>
          <w:rFonts w:ascii="Times New Roman"/>
          <w:b w:val="false"/>
          <w:i w:val="false"/>
          <w:color w:val="000000"/>
          <w:sz w:val="28"/>
        </w:rPr>
        <w:t>: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val="false"/>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w:t>
            </w:r>
            <w:r>
              <w:br/>
            </w:r>
            <w:r>
              <w:rPr>
                <w:rFonts w:ascii="Times New Roman"/>
                <w:b w:val="false"/>
                <w:i w:val="false"/>
                <w:color w:val="000000"/>
                <w:sz w:val="20"/>
              </w:rPr>
              <w:t>
</w:t>
            </w:r>
            <w:r>
              <w:rPr>
                <w:rFonts w:ascii="Times New Roman"/>
                <w:b w:val="false"/>
                <w:i/>
                <w:color w:val="000000"/>
                <w:sz w:val="20"/>
              </w:rPr>
              <w:t>________________</w:t>
            </w:r>
            <w:r>
              <w:rPr>
                <w:rFonts w:ascii="Times New Roman"/>
                <w:b w:val="false"/>
                <w:i w:val="false"/>
                <w:color w:val="000000"/>
                <w:sz w:val="20"/>
              </w:rPr>
              <w:t>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w:t>
      </w:r>
      <w:r>
        <w:rPr>
          <w:rFonts w:ascii="Times New Roman"/>
          <w:b w:val="false"/>
          <w:i w:val="false"/>
          <w:color w:val="000000"/>
          <w:sz w:val="28"/>
        </w:rPr>
        <w:t>болған жағдайда</w:t>
      </w:r>
      <w:r>
        <w:rPr>
          <w:rFonts w:ascii="Times New Roman"/>
          <w:b w:val="false"/>
          <w:i/>
          <w:color w:val="000000"/>
          <w:sz w:val="28"/>
        </w:rPr>
        <w:t>)</w:t>
      </w:r>
      <w:r>
        <w:rPr>
          <w:rFonts w:ascii="Times New Roman"/>
          <w:b w:val="false"/>
          <w:i w:val="false"/>
          <w:color w:val="000000"/>
          <w:sz w:val="28"/>
        </w:rPr>
        <w:t>:____________________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w:t>
      </w:r>
      <w:r>
        <w:rPr>
          <w:rFonts w:ascii="Times New Roman"/>
          <w:b w:val="false"/>
          <w:i w:val="false"/>
          <w:color w:val="000000"/>
          <w:sz w:val="28"/>
        </w:rPr>
        <w:t>мемлекеттік органның атауы</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4424"/>
        <w:gridCol w:w="1775"/>
        <w:gridCol w:w="3956"/>
        <w:gridCol w:w="83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 Күні: _____________________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______________________ Күні: ____________________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 Күні: ____________________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