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a6f" w14:textId="c9d4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2016 жылғы 23 ақпандағы № 28/2 қаулысы. Павлодар облысының Әділет департаментінде 2016 жылғы 9 наурызда № 4968 болып тіркелді. Күші жойылды - Павлодар облысы Железин аудандық әкімдігінің 2017 жылғы 17 сәуірдегі № 88/4 (алғашқы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Железин аудандық әкімдігінің 17.04.2017 № 88/4 (алғашқы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 ауданы әкімдігінің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Железин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2016 ж. "23" ақпандағы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Железин ауданы әкімдігінің атқарушы органдарының</w:t>
      </w:r>
      <w:r>
        <w:br/>
      </w:r>
      <w:r>
        <w:rPr>
          <w:rFonts w:ascii="Times New Roman"/>
          <w:b/>
          <w:i w:val="false"/>
          <w:color w:val="000000"/>
        </w:rPr>
        <w:t>"Б" корпусы мемлекеттік әкімшілік қызметшілері</w:t>
      </w:r>
      <w:r>
        <w:br/>
      </w:r>
      <w:r>
        <w:rPr>
          <w:rFonts w:ascii="Times New Roman"/>
          <w:b/>
          <w:i w:val="false"/>
          <w:color w:val="000000"/>
        </w:rPr>
        <w:t>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Железин ауданы әкімдігінің атқарушы органдарының "Б" корпусы мемлекеттік әкімшілік қызметшілері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 ауданы әкімдігінің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Жергілікті бюджеттен қаржыландырылатын атқарушы органдардың басшыларын мемлекеттік лауазымға тағайындау және мемлекеттік лауазымнан босату құқығы бар лауазымды тұлға бағалауды өткізуі үшін Бағалау жөніндегі комиссия құрылады, "Железин ауданы әкімнің аппараты" мемлекеттік мекемесінің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19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6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08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65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104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5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xml:space="preserve">жеке жұмыс жоспары </w:t>
      </w:r>
    </w:p>
    <w:bookmarkEnd w:id="11"/>
    <w:p>
      <w:pPr>
        <w:spacing w:after="0"/>
        <w:ind w:left="0"/>
        <w:jc w:val="left"/>
      </w:pPr>
      <w:r>
        <w:rPr>
          <w:rFonts w:ascii="Times New Roman"/>
          <w:b w:val="false"/>
          <w:i w:val="false"/>
          <w:color w:val="000000"/>
          <w:sz w:val="28"/>
        </w:rPr>
        <w:t>      ______________________________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бағалау нәтижесі: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(мемлекеттік органның атауы)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