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da21" w14:textId="a0bd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Баянауыл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2016 жылғы 04 сәуірдегі № 11/02 шешімі. Павлодар облысының Әділет департаментінде 2016 жылғы 05 сәуірде № 5048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ЕТЕДІ: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Баянауыл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жетпіс айлық есептік көрсеткіш сомасына тең көтерме жәрдемақы берілсін.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Баянауыл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тұрғын үй сатып алу немесе құрылысы үшін бір мың бес жүз айлық есептік көрсеткіш мөлшерінен жоғары емес сомада бюджеттік кредит берілсін.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Баянауыл аудандық мәслихатының тұрақты комиссияларына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