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c65c" w14:textId="619c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21 сәуірдегі № 20 шешімі. Қостанай облысының Әділет департаментінде 2016 жылғы 13 мамырда № 6359 болып тіркелді</w:t>
      </w:r>
    </w:p>
    <w:p>
      <w:pPr>
        <w:spacing w:after="0"/>
        <w:ind w:left="0"/>
        <w:jc w:val="both"/>
      </w:pPr>
      <w:bookmarkStart w:name="z3"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 Лебедев</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мәслихаттың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Арықов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"Меңдіқара ауданының экономика</w:t>
      </w:r>
      <w:r>
        <w:br/>
      </w:r>
      <w:r>
        <w:rPr>
          <w:rFonts w:ascii="Times New Roman"/>
          <w:b w:val="false"/>
          <w:i w:val="false"/>
          <w:color w:val="000000"/>
          <w:sz w:val="28"/>
        </w:rPr>
        <w:t>
</w:t>
      </w:r>
      <w:r>
        <w:rPr>
          <w:rFonts w:ascii="Times New Roman"/>
          <w:b w:val="false"/>
          <w:i w:val="false"/>
          <w:color w:val="000000"/>
          <w:sz w:val="28"/>
        </w:rPr>
        <w:t>
      және бюджет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___________________ Г. Айсенова</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