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aaf6" w14:textId="374a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6 маусымдағы № 32 шешімі. Қостанай облысының Әділет департаментінде 2016 жылғы 5 шілдеде № 6525 болып тіркелді. Күші жойылды - Қостанай облысы Қостанай ауданы мәслихатының 2017 жылғы 21 ақпандағы № 101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ауданы мәслихатының 21.02.2017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жылқы 6 маусымдағы</w:t>
            </w:r>
            <w:r>
              <w:br/>
            </w:r>
            <w:r>
              <w:rPr>
                <w:rFonts w:ascii="Times New Roman"/>
                <w:b w:val="false"/>
                <w:i w:val="false"/>
                <w:color w:val="000000"/>
                <w:sz w:val="20"/>
              </w:rPr>
              <w:t>№ 32 шешімімен бекітілді</w:t>
            </w:r>
          </w:p>
        </w:tc>
      </w:tr>
    </w:tbl>
    <w:bookmarkStart w:name="z9" w:id="0"/>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Қостанай аудандық мәслихатының хатшысы "Б" корпусы қызметшісінің қызметін бағалауды өткізу үшін Бағалау жөніндегі комиссия құрылады, "Қостанай аудандық мәслихатының аппараты" мемлекеттік мекемесінің ұйымдастыру-құқықтық қамтамасыз ету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"Қостанай аудандық мәслихатының аппараты" мемлекеттік мекемесінің кадрлық іс жүргізуге жауапты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мәні).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1"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жеке</w:t>
      </w:r>
      <w:r>
        <w:rPr>
          <w:rFonts w:ascii="Times New Roman"/>
          <w:b w:val="false"/>
          <w:i/>
          <w:color w:val="000000"/>
          <w:sz w:val="28"/>
        </w:rPr>
        <w:t xml:space="preserve">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23"/>
        <w:gridCol w:w="6477"/>
      </w:tblGrid>
      <w:tr>
        <w:trPr>
          <w:trHeight w:val="30" w:hRule="atLeast"/>
        </w:trPr>
        <w:tc>
          <w:tcPr>
            <w:tcW w:w="58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тоқсан 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136"/>
        <w:gridCol w:w="1192"/>
        <w:gridCol w:w="1507"/>
        <w:gridCol w:w="2972"/>
        <w:gridCol w:w="1507"/>
        <w:gridCol w:w="1507"/>
        <w:gridCol w:w="564"/>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Орындаутәртібін бұзу туралы мәліметтер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5"/>
        <w:gridCol w:w="6205"/>
      </w:tblGrid>
      <w:tr>
        <w:trPr>
          <w:trHeight w:val="30" w:hRule="atLeast"/>
        </w:trPr>
        <w:tc>
          <w:tcPr>
            <w:tcW w:w="60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2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9"/>
        <w:gridCol w:w="4350"/>
        <w:gridCol w:w="2357"/>
        <w:gridCol w:w="1285"/>
        <w:gridCol w:w="825"/>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6205"/>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w:t>
            </w:r>
            <w:r>
              <w:br/>
            </w:r>
            <w:r>
              <w:rPr>
                <w:rFonts w:ascii="Times New Roman"/>
                <w:b w:val="false"/>
                <w:i w:val="false"/>
                <w:color w:val="000000"/>
                <w:sz w:val="20"/>
              </w:rPr>
              <w:t>
</w:t>
            </w:r>
            <w:r>
              <w:rPr>
                <w:rFonts w:ascii="Times New Roman"/>
                <w:b w:val="false"/>
                <w:i w:val="false"/>
                <w:color w:val="000000"/>
                <w:sz w:val="20"/>
              </w:rPr>
              <w:t>күні____________________________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2"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6"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бағалау</w:t>
      </w:r>
      <w:r>
        <w:rPr>
          <w:rFonts w:ascii="Times New Roman"/>
          <w:b w:val="false"/>
          <w:i/>
          <w:color w:val="000000"/>
          <w:sz w:val="28"/>
        </w:rPr>
        <w:t xml:space="preserve"> түрі: тоқсандық /жылдық және бағаланатын кезең</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тоқсан</w:t>
      </w:r>
      <w:r>
        <w:rPr>
          <w:rFonts w:ascii="Times New Roman"/>
          <w:b w:val="false"/>
          <w:i/>
          <w:color w:val="000000"/>
          <w:sz w:val="28"/>
        </w:rPr>
        <w:t xml:space="preserve">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 күні: 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