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d07" w14:textId="2aa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25 ақпандағы № 252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1 сәуірдегі № 15 шешімі. Қостанай облысының Әділет департаментінде 2016 жылғы 5 мамырда № 6317 болып тіркелді. Күші жойылды - Қостанай облысы Алтынсарин ауданы мәслихатының 2024 жылғы 21 тамыздағы № 91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Алтынсарин ауданы мәслихатының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25 ақпандағы № 252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5422 нөмірімен тіркелген, 2015 жылғы 10 сәуірде "Таза бұлақ Чистый родник"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"Алтынсарин ауданы әкімдігінің жұмыспен қамту және әлеуметтік бағдарламалар бөлімі" мемлекеттік мекемесі (бұдан әрі – уәкілетті орган)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тағайындау үшін отбасы (азамат) "Халыққа қызмет көрсету орталығы" Департаментінің Алтынсарин ауданының бөлімі Қостанай облысы бойынша филиалының "Азаматтар үшін үкімет" Мемлекеттік корпорациясы" бейкоммерциялық акционерлік қоғамына (бұдан әрі – Мемлекеттік корпорациясы) жүгінеді немесе www.egov.kz "электрондық үкіметтің" веб-порталына (бұдан әрі - портал) балама негізде өтінішпен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ұсынады - күнтізбелік 10 (он) күн".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"/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әкiмдiгiнiң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 бөлiмi"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О. Банкова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жылы 1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әкiмдiгiнiң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бөлiмi"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мекемесiнiң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Е. 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жылы 1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