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6c53e" w14:textId="f56c5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Басқұдық ауылдық округін салық салу мақсатында аймақтарға бөлу схемасы және жер салығының базалық мөлшерлемелеріне түзету коэффициенттері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аудандық мәслихатының 2016 жылғы 21 қазандағы № 4/70 шешімі. Маңғыстау облысы Әділет департаментінде 2016 жылғы 30 қарашада № 3196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 жылғы 25 желтоқсандағы "Салық және бюджетке төленетін басқа да міндетті төлемдер туралы (Салық кодексі)"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Мұнайлы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Кіріспесі жаңа редакцияда – Маңғыстау облысы Мұнайлы аудандық мәслихатының 27.04.2018 </w:t>
      </w:r>
      <w:r>
        <w:rPr>
          <w:rFonts w:ascii="Times New Roman"/>
          <w:b w:val="false"/>
          <w:i w:val="false"/>
          <w:color w:val="000000"/>
          <w:sz w:val="28"/>
        </w:rPr>
        <w:t>№ 22/274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Басқұдық ауылдық округін салық салу мақсатында аймақтарға бөлу схемасы мен жер аймақтарының сипаттамасы және салық салу мақсатындағы жер салығының базалық мөлшерлемесіне түзету коэффициенттері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Мұнайлы аудандық мәслихатының аппарат басшысы (А. Жанбуршина) осы шешімнің әділет органдарында мемлекеттік тіркелуін, оның "Әділет" ақпараттық-құқықтық жүйесі мен бұқаралық ақпарат құралдарында ресми жариялануын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шешімнің орындалуын бақылау Мұнайлы аудандық мәслихатының әлеуметтік мәселелер жөніндегі, заңдылық, құқық тәртібі, депутаттар өкілеттілігі және әдеп жөніндегі тұрақты комиссиясына жүктелсін (комиссия төрайымы Г. Қонысбаева).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Б.Қазақбаев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Қаржы министрлігінің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комитеті Маңғыстау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облысы бойынша мемлекеттік 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департаментінің Мұнайлы ауданы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басқармасы" республикалық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Таңатар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қазан 2016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"Мұнайлы аудандық жер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қатынастары бөлімі"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 Өтегенов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қазан 2016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Мұнайлы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№4/70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Басқұдық ауылдық  округін салық салу мақсатында  аймақтарға бөлу  схемасы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69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9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Мұнайлы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№4/70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Басқұдық ауылдық округі жерлері аймақтарының сипаттамасы және салық салу мақсатындағы жер салығының базалық мөлшерлемесіне түзету коэффициенттері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2"/>
        <w:gridCol w:w="7680"/>
        <w:gridCol w:w="2988"/>
      </w:tblGrid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 №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енетін аумақтар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коэффициенттері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аймақ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 іскерлік аймақ, екі қабатты және жеке үй құрылысы салынған орталық бөлігі енетін аймақ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Резервтегі аймақ (өнеркәсіптік аймақтың болжамды дамуы)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Резервтегі аймақ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Аймақтардың сипаты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1-</w:t>
      </w:r>
      <w:r>
        <w:rPr>
          <w:rFonts w:ascii="Times New Roman"/>
          <w:b/>
          <w:i w:val="false"/>
          <w:color w:val="000000"/>
          <w:sz w:val="28"/>
        </w:rPr>
        <w:t xml:space="preserve">ші аймақ - </w:t>
      </w:r>
      <w:r>
        <w:rPr>
          <w:rFonts w:ascii="Times New Roman"/>
          <w:b w:val="false"/>
          <w:i w:val="false"/>
          <w:color w:val="000000"/>
          <w:sz w:val="28"/>
        </w:rPr>
        <w:t>Өнеркәсіптік аймақ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2-ші аймақ -</w:t>
      </w:r>
      <w:r>
        <w:rPr>
          <w:rFonts w:ascii="Times New Roman"/>
          <w:b w:val="false"/>
          <w:i w:val="false"/>
          <w:color w:val="000000"/>
          <w:sz w:val="28"/>
        </w:rPr>
        <w:t xml:space="preserve"> Қоғамдық-іскерлік аймақ, екі қабатты және жеке тұрғын үй құрылысы салынған орталық бөлігі енеді. Бұл жерде негізгі әкімшілік ғимараттар, емхана, ұсақ жеке дүкендер желісі, шағын бизнес объектілері орналасқан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3-ші аймақ - </w:t>
      </w:r>
      <w:r>
        <w:rPr>
          <w:rFonts w:ascii="Times New Roman"/>
          <w:b w:val="false"/>
          <w:i w:val="false"/>
          <w:color w:val="000000"/>
          <w:sz w:val="28"/>
        </w:rPr>
        <w:t>Резервтегі аймақ (өнеркәсіптік аймақтың болжамды дамуы)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4-ші аймақ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- Резервтегі аймақ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