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3128" w14:textId="8c73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27 қыркүйектегі № 36 шешімі. Қызылорда облысының Әділет департаментінде 2016 жылғы 14 қазанда № 5622 болып тіркелді. Күші жойылды - Қызылорда облысы Қармақшы аудандық мәслихатының 2017 жылғы 16 қаңтардағы № 64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16.01.2017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мүгедектерді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жәрдемақылар туралы" Қазақстан Республикасының 1999 жылғы 5 сәуiрдегi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оның мөлшерлерін белгілеу және мұқтаж азаматтардың жекелеген санаттарының тізбесін айқындау қағидасын бекіту туралы" Қармақшы аудандық мәслихатының 2015 жылғы 23 желтоқсанындағы </w:t>
      </w:r>
      <w:r>
        <w:rPr>
          <w:rFonts w:ascii="Times New Roman"/>
          <w:b w:val="false"/>
          <w:i w:val="false"/>
          <w:color w:val="000000"/>
          <w:sz w:val="28"/>
        </w:rPr>
        <w:t>№ 313</w:t>
      </w:r>
      <w:r>
        <w:rPr>
          <w:rFonts w:ascii="Times New Roman"/>
          <w:b w:val="false"/>
          <w:i w:val="false"/>
          <w:color w:val="000000"/>
          <w:sz w:val="28"/>
        </w:rPr>
        <w:t xml:space="preserve"> шешімінің (нормативтік құқықтық актілердің мемлекеттік тіркеу тізілімінде 5303 нөмірімен тіркелген, "Қармақшы таңы" газетінің 2016 жылғы 3 ақпанындағы № 9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5-сессиясының төрағасы</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 Т. Ералиев</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 М. Наятұлы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36 шешiмiмен бекiтiлген</w:t>
            </w:r>
          </w:p>
        </w:tc>
      </w:tr>
    </w:tbl>
    <w:bookmarkStart w:name="z13"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Қармақшы ауданы және Байқоңыр қаласы аумағында Қазақстан Республикасының азаматтары болып табылатын және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(Қармақшы ауданының әкімдігі) –Қармақшы ауданының әкімі басқаратын, өз құзыреті шегінде Қармақшы ауданының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“Өрлеу” жобасына қатысу үшін өз атынан және отбасы атынан өтініш білдірген адам; </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“Қармақшы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Қармақшы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5.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ұрыс қимылдары жүргізілген басқа мемлекеттерде әскери міндетін өтеу кезінде жаралануы, контузия алуы, зақымдануы салдарынан мүгедек болған немесе ұрыс қимылдары жүргізілген мемлекеттерде әскери міндетін орындауына байланысты ауруға шалдығуы салдарынан мүгедек болған әскери қызметшілерге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зардаптарын жоюға қатысқан адамдарға, сондай-ақ, Чернобыль АЭС-індегі апаттың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және азаматтық немесе әскери мақсаттағы объектiлердегi радиациялық апаттар мен авариялардың,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жылына бір рет – 40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жылына бір рет – 30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4)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9.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12.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13.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14.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15.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18.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23.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25.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кент, ауыл,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27. Уәкілетті орган немесе кент, ауыл, ауылдық округ әкімі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кент, ауыл, ауылдық округ әкімі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бұйрығының (бұдан әрі - Бұйрық) (Қазақстан Республикасының Әділет министрлігінде 2016 жылы 6 маусымда 13773 нөмірімен тіркелген) 1-қосымшасымен бекітілген нысан бойынша әңгімелесу парағы рәсімделеді.</w:t>
      </w:r>
      <w:r>
        <w:br/>
      </w:r>
      <w:r>
        <w:rPr>
          <w:rFonts w:ascii="Times New Roman"/>
          <w:b w:val="false"/>
          <w:i w:val="false"/>
          <w:color w:val="000000"/>
          <w:sz w:val="28"/>
        </w:rPr>
        <w:t>
      </w:t>
      </w:r>
      <w:r>
        <w:rPr>
          <w:rFonts w:ascii="Times New Roman"/>
          <w:b w:val="false"/>
          <w:i w:val="false"/>
          <w:color w:val="000000"/>
          <w:sz w:val="28"/>
        </w:rPr>
        <w:t xml:space="preserve">28.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кент, ауыл,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29.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3), 4) тармақшаларында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30. Уәкілетті орган немесе кент, ауыл,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31.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кент, ауыл, ауылдық округ әкіміне береді. </w:t>
      </w:r>
      <w:r>
        <w:br/>
      </w:r>
      <w:r>
        <w:rPr>
          <w:rFonts w:ascii="Times New Roman"/>
          <w:b w:val="false"/>
          <w:i w:val="false"/>
          <w:color w:val="000000"/>
          <w:sz w:val="28"/>
        </w:rPr>
        <w:t>
      </w:t>
      </w:r>
      <w:r>
        <w:rPr>
          <w:rFonts w:ascii="Times New Roman"/>
          <w:b w:val="false"/>
          <w:i w:val="false"/>
          <w:color w:val="000000"/>
          <w:sz w:val="28"/>
        </w:rPr>
        <w:t>32. Кент, ауыл,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33. Уәкілетті орган:</w:t>
      </w:r>
      <w:r>
        <w:br/>
      </w:r>
      <w:r>
        <w:rPr>
          <w:rFonts w:ascii="Times New Roman"/>
          <w:b w:val="false"/>
          <w:i w:val="false"/>
          <w:color w:val="000000"/>
          <w:sz w:val="28"/>
        </w:rPr>
        <w:t>
      </w:t>
      </w:r>
      <w:r>
        <w:rPr>
          <w:rFonts w:ascii="Times New Roman"/>
          <w:b w:val="false"/>
          <w:i w:val="false"/>
          <w:color w:val="000000"/>
          <w:sz w:val="28"/>
        </w:rPr>
        <w:t>1) кент, ауыл,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34.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35.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36.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37.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38.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55" w:id="5"/>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40.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66"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43.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44.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0"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