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4d0f" w14:textId="0814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Меркі аудандық мәслихатының 2015 жылғы 30 қазандағы № 43-2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2016 жылғы 20 мамырдағы № 3-4 шешімі. Жамбыл облысы Әділет департаментінде 2016 жылғы 24 маусымда № 3118 болып тіркелді. Күші жойылды - Жамбыл облысы Меркі аудандық мәслихатының 2019 жылғы 7 ақпандағы № 42-2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Жамбыл облысы Меркі аудандық мәслихатының 07.02.2019 № 42-2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Меркі аудандық мәслихатының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тізілімде № 2836 болып тіркелген, 2015 жылғы 9 желтоқсандағы № 107-108 аудандық "Меркі тынысы – Меркенский вестник"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"387 бабының 1-1 тармағына" деген сөздер "386 бабының 5 тармағына деген сөздермен ауыстырылсын;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жызылсын: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жоғарылатылсын.".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сәулет және құрылыс, энергетиканы, көлік пен байланысты, ауыл шаруашылығы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кәсіпкерлікті дамыту, жер ресурстарын пайдалану мәселелері жөніндегі тұрақты комиссиясына жүктелсін.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