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40b7" w14:textId="54d4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2016 жылғы 20 қаңтардағы № 12 қаулысы. Алматы облысы Әділет департаментінде 2016 жылы 10 ақпанда № 3701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"Балқаш аудандық мәдениет және тілдерді дамыту бөлімі" мемлекеттік мекемесінің басшысы Аманжолова Гаухар Аманжоловна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әкімдігінің 2016 жылғы 20 қаңтардағы "Балқаш аудандық мәдениет және тілдерді дамыту бөлімі" мемлекеттік мекемесінің Ережесін бекіту туралы" № 12 қаулысымен бекітілген қосымша </w:t>
            </w:r>
          </w:p>
        </w:tc>
      </w:tr>
    </w:tbl>
    <w:bookmarkStart w:name="z11" w:id="0"/>
    <w:p>
      <w:pPr>
        <w:spacing w:after="0"/>
        <w:ind w:left="0"/>
        <w:jc w:val="left"/>
      </w:pPr>
      <w:r>
        <w:rPr>
          <w:rFonts w:ascii="Times New Roman"/>
          <w:b/>
          <w:i w:val="false"/>
          <w:color w:val="000000"/>
        </w:rPr>
        <w:t xml:space="preserve"> "Балқаш аудандық мәдениет және тілдерді дамыту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"Балқаш аудандық мәдениет және тілдерді дамыту бөлімі" мемлекеттік мекемесі (бұдан әрі - Бөлім) Балқаш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040300, Қазақстан Республикасы, Алматы облысы, Балқаш ауданы, Бақанас ауылы, Қонаев көшесі, № 75.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"Балқаш аудандық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"Балқаш ауданының Әкімінің" Аудандық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"Балқаш ауданы әкімінің аудандық кітапханасы"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