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8bcd" w14:textId="2378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8 сәуірдегі № 13 шешімі. Ақтөбе облысының Әділет департаментінде 2016 жылғы 26 сәуірде № 4867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xml:space="preserve">
      "3 417 286" деген цифрлар "3 538 733"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"3 057 226" деген цифрлар "3 178 673"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w:t>
      </w:r>
      <w:r>
        <w:br/>
      </w:r>
      <w:r>
        <w:rPr>
          <w:rFonts w:ascii="Times New Roman"/>
          <w:b w:val="false"/>
          <w:i w:val="false"/>
          <w:color w:val="000000"/>
          <w:sz w:val="28"/>
        </w:rPr>
        <w:t>
      "3 420 097,9" деген цифрлар "3 541 544,9"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"экономикалық орнықтылықты қамтамасыз етуге – 86 934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 2020 жол картасы бағдарламасы</w:t>
      </w:r>
      <w:r>
        <w:rPr>
          <w:rFonts w:ascii="Times New Roman"/>
          <w:b w:val="false"/>
          <w:i w:val="false"/>
          <w:color w:val="000000"/>
          <w:sz w:val="28"/>
        </w:rPr>
        <w:t xml:space="preserve"> шеңберінде ауылдық елді мекендерді дамытуға – 15 072 мың тенге".</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Г.БАЛГАРИНА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8 сәуірдегі № 13 </w:t>
            </w:r>
            <w:r>
              <w:br/>
            </w: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227 Қобда аудандық </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3538733,0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3178673,0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3178673,0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3178673,0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w:t>
            </w:r>
            <w:r>
              <w:rPr>
                <w:rFonts w:ascii="Times New Roman"/>
                <w:b/>
                <w:i w:val="false"/>
                <w:color w:val="000000"/>
                <w:sz w:val="20"/>
              </w:rPr>
              <w:t xml:space="preserve">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3541544,9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290931,8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71498,8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69966,8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204531,0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202581,0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2236668,0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1903856,0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1793033,0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207234,7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71191,0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72089,3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312666,2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186774,2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15154,2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46464,0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33579,0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19220,0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45233,0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11 556,3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