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5c3a" w14:textId="a92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24 наурыздағы № 14 шешімі. Ақтөбе облысының Әділет департаментінде 2016 жылғы 25 сәуірде № 4860 болып тіркелді. Күші жойылды - Ақтөбе облысы Қарғалы аудандық мәслихатының 2017 жылғы 17 ақпандағы № 111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аудандық мәслихатының 17.02.2017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А.Утегенов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p>
      <w:pPr>
        <w:spacing w:after="0"/>
        <w:ind w:left="0"/>
        <w:jc w:val="left"/>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 бабына</w:t>
      </w:r>
      <w:r>
        <w:rPr>
          <w:rFonts w:ascii="Times New Roman"/>
          <w:b w:val="false"/>
          <w:i w:val="false"/>
          <w:color w:val="000000"/>
          <w:sz w:val="28"/>
        </w:rPr>
        <w:t xml:space="preserve"> 5-тармағына сәйкес әзірленді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12705 болып тіркелген) сәйкес әзірленді және "Қарғалы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"Қарғалы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желтоқсаннан..кеш..емес.өткізілетін..төртінші..тоқсанды..қоспағанда);</w:t>
      </w:r>
      <w:r>
        <w:br/>
      </w:r>
      <w:r>
        <w:rPr>
          <w:rFonts w:ascii="Times New Roman"/>
          <w:b w:val="false"/>
          <w:i w:val="false"/>
          <w:color w:val="000000"/>
          <w:sz w:val="28"/>
        </w:rPr>
        <w:t>
      2) жыл қорытындысы бойынша (жылдық бағалау) – бағаланып жатқан жылдың жиырма..бесінші.желтоқсанынан..кешіктірмей..жүргізіледі.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 жүргізеді және "Б" корпусы қызметшісінің лауазымдық.міндеттерді.орындауын.бағалауға.негізделеді.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      </w:t>
      </w:r>
      <w:r>
        <w:br/>
      </w:r>
      <w:r>
        <w:rPr>
          <w:rFonts w:ascii="Times New Roman"/>
          <w:b w:val="false"/>
          <w:i w:val="false"/>
          <w:color w:val="000000"/>
          <w:sz w:val="28"/>
        </w:rPr>
        <w:t>
      1) "Б".корпусы қызметшісінің есептік тоқсандардағы орта бағасынан;</w:t>
      </w:r>
      <w:r>
        <w:br/>
      </w:r>
      <w:r>
        <w:rPr>
          <w:rFonts w:ascii="Times New Roman"/>
          <w:b w:val="false"/>
          <w:i w:val="false"/>
          <w:color w:val="000000"/>
          <w:sz w:val="28"/>
        </w:rPr>
        <w:t>
      2) "Б".корпусы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болып7табылады.</w:t>
      </w:r>
      <w:r>
        <w:br/>
      </w: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уәкілетті..тұлғаның..шешімі..бойынша..жүзеге..асырылады.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11."Б"корпусы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жұмыс.күні.ішінде7құрастырылады.</w:t>
      </w:r>
      <w:r>
        <w:br/>
      </w:r>
      <w:r>
        <w:rPr>
          <w:rFonts w:ascii="Times New Roman"/>
          <w:b w:val="false"/>
          <w:i w:val="false"/>
          <w:color w:val="000000"/>
          <w:sz w:val="28"/>
        </w:rPr>
        <w:t>
      12.."Б"..корпусының..қызметшісі..жұмысының..жеке..жоспары: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байланысты көрсетіледі,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Негізгі..баллдар..100.балл..деңгейінде..белгіленеді.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болып..табылатын..қызмет..түрлері..үшін..қойылады.</w:t>
      </w:r>
      <w:r>
        <w:br/>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оған түзету еңгізеді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басшының;</w:t>
      </w:r>
      <w:r>
        <w:br/>
      </w:r>
      <w:r>
        <w:rPr>
          <w:rFonts w:ascii="Times New Roman"/>
          <w:b w:val="false"/>
          <w:i w:val="false"/>
          <w:color w:val="000000"/>
          <w:sz w:val="28"/>
        </w:rPr>
        <w:t>
      2) "Б" корпусы қызметшісіне бағыныштылардың;</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31..Осы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106-дан.130.баллға.дейін.(қоса.алғанда).–."тиімді"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 тармағындакөрсетілген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"өте..жақсы"..мәнге..(130.баллдан..астам)–5..балл.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шыққан..күннен..бастап..он..жұмыс..күні..ішінде..жүзеге..асырылады.</w:t>
      </w:r>
      <w:r>
        <w:br/>
      </w:r>
      <w:r>
        <w:rPr>
          <w:rFonts w:ascii="Times New Roman"/>
          <w:b w:val="false"/>
          <w:i w:val="false"/>
          <w:color w:val="000000"/>
          <w:sz w:val="28"/>
        </w:rPr>
        <w:t>
      44..Мемлекеттік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"Б" корпусы мемлекеттік әкімшілік</w:t>
      </w:r>
      <w:r>
        <w:br/>
      </w:r>
      <w:r>
        <w:rPr>
          <w:rFonts w:ascii="Times New Roman"/>
          <w:b w:val="false"/>
          <w:i w:val="false"/>
          <w:color w:val="000000"/>
          <w:sz w:val="28"/>
        </w:rPr>
        <w:t>
      </w:t>
      </w:r>
      <w:r>
        <w:rPr>
          <w:rFonts w:ascii="Times New Roman"/>
          <w:b/>
          <w:i w:val="false"/>
          <w:color w:val="000000"/>
          <w:sz w:val="28"/>
        </w:rPr>
        <w:t>қызметшісінің жеке жұмыс жоспары</w:t>
      </w:r>
      <w:r>
        <w:br/>
      </w:r>
      <w:r>
        <w:rPr>
          <w:rFonts w:ascii="Times New Roman"/>
          <w:b w:val="false"/>
          <w:i w:val="false"/>
          <w:color w:val="000000"/>
          <w:sz w:val="28"/>
        </w:rPr>
        <w:t>
      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w:t>
      </w:r>
      <w:r>
        <w:br/>
      </w:r>
      <w:r>
        <w:rPr>
          <w:rFonts w:ascii="Times New Roman"/>
          <w:b w:val="false"/>
          <w:i w:val="false"/>
          <w:color w:val="000000"/>
          <w:sz w:val="28"/>
        </w:rPr>
        <w:t xml:space="preserve">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Қызметшініңөзін-өзібағалауы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w:t>
            </w:r>
            <w:r>
              <w:br/>
            </w:r>
            <w:r>
              <w:rPr>
                <w:rFonts w:ascii="Times New Roman"/>
                <w:b w:val="false"/>
                <w:i w:val="false"/>
                <w:color w:val="000000"/>
                <w:sz w:val="20"/>
              </w:rPr>
              <w:t>
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xml:space="preserve">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610"/>
        <w:gridCol w:w="4983"/>
        <w:gridCol w:w="1158"/>
        <w:gridCol w:w="979"/>
        <w:gridCol w:w="980"/>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Қызметшініңөзін-өзібағалаунәтижелері</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Басшыныңбағалаунәтижелері</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314"/>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Айналмалы бағалау нәтижелері</w:t>
      </w:r>
      <w:r>
        <w:br/>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