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a267" w14:textId="4bca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Ырғыз ауданының бюджетін бекіту туралы" 2015 жылғы 23 желтоқсандағы № 217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2016 жылғы 5 шілдедегі № 31 шешімі. Ақтөбе облысының Әділет департаментінде 2016 жылғы 20 шілдеде № 5002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217 "2016-2018 жылдарға арналған Ырғыз ауданының бюджетін бекіту туралы" (нормативтік құқықтық актілердің мемлекеттік тіркеу Тізілімінде № 4683 тіркелген, 2016 жылы 2 акпанда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"3 186 907" саны "3 345 702,4"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түсiмдер бойынша "267 705 саны "417 705" санымен ауыстырылсын;</w:t>
      </w:r>
      <w:r>
        <w:br/>
      </w:r>
      <w:r>
        <w:rPr>
          <w:rFonts w:ascii="Times New Roman"/>
          <w:b w:val="false"/>
          <w:i w:val="false"/>
          <w:color w:val="000000"/>
          <w:sz w:val="28"/>
        </w:rPr>
        <w:t>
      трансферттердің түсімдері бойынша "2 911 586" саны "2 920 381,4"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"3 215 819,6" саны "3 374 615"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"59 508" саны "59 508,4" санымен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"62 541" саны "63 913" санымен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"3 031" саны "3 163" санымен ауыстырылсын;</w:t>
      </w:r>
      <w:r>
        <w:br/>
      </w:r>
      <w:r>
        <w:rPr>
          <w:rFonts w:ascii="Times New Roman"/>
          <w:b w:val="false"/>
          <w:i w:val="false"/>
          <w:color w:val="000000"/>
          <w:sz w:val="28"/>
        </w:rPr>
        <w:t>
      7 абзац жаңа редакцияда жазылсын:</w:t>
      </w:r>
      <w:r>
        <w:br/>
      </w:r>
      <w:r>
        <w:rPr>
          <w:rFonts w:ascii="Times New Roman"/>
          <w:b w:val="false"/>
          <w:i w:val="false"/>
          <w:color w:val="000000"/>
          <w:sz w:val="28"/>
        </w:rPr>
        <w:t>
      "елді мекендердегі сумен жабдықтау және су бұру жүйелерін дамытуға - 29 314 мың теңге;";</w:t>
      </w:r>
      <w:r>
        <w:br/>
      </w:r>
      <w:r>
        <w:rPr>
          <w:rFonts w:ascii="Times New Roman"/>
          <w:b w:val="false"/>
          <w:i w:val="false"/>
          <w:color w:val="000000"/>
          <w:sz w:val="28"/>
        </w:rPr>
        <w:t>
      және мынадай мазмұндағы жаңа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- 7 291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ТІЛЕУҒАБЫЛОВ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5 шілдедегі № 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1 қосымша</w:t>
            </w:r>
          </w:p>
        </w:tc>
      </w:tr>
    </w:tbl>
    <w:p>
      <w:pPr>
        <w:spacing w:after="0"/>
        <w:ind w:left="0"/>
        <w:jc w:val="left"/>
      </w:pPr>
      <w:r>
        <w:rPr>
          <w:rFonts w:ascii="Times New Roman"/>
          <w:b/>
          <w:i w:val="false"/>
          <w:color w:val="000000"/>
        </w:rPr>
        <w:t xml:space="preserve"> Ырғыз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182"/>
        <w:gridCol w:w="761"/>
        <w:gridCol w:w="5246"/>
        <w:gridCol w:w="4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3 345 702,4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2 920 381,4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2 920 381,4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2 920 381,4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544"/>
        <w:gridCol w:w="1146"/>
        <w:gridCol w:w="1146"/>
        <w:gridCol w:w="5513"/>
        <w:gridCol w:w="31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3 374 615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2 359 864,2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256 522,8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1 973 653,6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1 849 584,6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1 773 061,6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156 282,3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65 100,3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196 044,7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92 115,7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92 115,7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125 287,4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125 287,4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124 887,4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325"/>
        <w:gridCol w:w="2379"/>
        <w:gridCol w:w="4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725"/>
        <w:gridCol w:w="1528"/>
        <w:gridCol w:w="1529"/>
        <w:gridCol w:w="3786"/>
        <w:gridCol w:w="3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- 51 144,6</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2269"/>
        <w:gridCol w:w="1462"/>
        <w:gridCol w:w="321"/>
        <w:gridCol w:w="1675"/>
        <w:gridCol w:w="5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934"/>
        <w:gridCol w:w="1970"/>
        <w:gridCol w:w="1970"/>
        <w:gridCol w:w="2454"/>
        <w:gridCol w:w="3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086"/>
        <w:gridCol w:w="1344"/>
        <w:gridCol w:w="295"/>
        <w:gridCol w:w="1417"/>
        <w:gridCol w:w="5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