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1ead" w14:textId="d501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2016 жылғы 23 желтоқсандағы № 87/10-6 шешімі. Ақмола облысының Әділет департаментінде 2017 жылғы 24 қаңтарда № 5728 болып тіркелді. Күші жойылды - Ақмола облысы Целиноград аудандық мәслихатының 2022 жылғы 5 қыркүйектегі № 169/31-7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05.09.2022 </w:t>
      </w:r>
      <w:r>
        <w:rPr>
          <w:rFonts w:ascii="Times New Roman"/>
          <w:b w:val="false"/>
          <w:i w:val="false"/>
          <w:color w:val="ff0000"/>
          <w:sz w:val="28"/>
        </w:rPr>
        <w:t>№ 169/31-7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қаулысымен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Целиноград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"Целиноград ауданында бөлек жергілікті қоғамдастық жиындарын өткізудің қағидаларын бекіту туралы" Целиноград аудандық мәслихатының 2014 жылғы 16 сәуірдегі № 208/28-5 (Нормативтік құқықтық актілерді мемлекеттік тіркеу тізілімінде № 4184 болып тіркелген, 2014 жылғы 23 мамырда "Вести Акмола", "Ақмол ақпараты" аудандық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А.Тиманов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23.12.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87/10-6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Целиноград ауданында бөлек жергілікті қоғамдастық</w:t>
      </w:r>
      <w:r>
        <w:br/>
      </w:r>
      <w:r>
        <w:rPr>
          <w:rFonts w:ascii="Times New Roman"/>
          <w:b/>
          <w:i w:val="false"/>
          <w:color w:val="000000"/>
        </w:rPr>
        <w:t>жиындарын өткізу және жергілікті қоғамдастық жиынына қатысу</w:t>
      </w:r>
      <w:r>
        <w:br/>
      </w:r>
      <w:r>
        <w:rPr>
          <w:rFonts w:ascii="Times New Roman"/>
          <w:b/>
          <w:i w:val="false"/>
          <w:color w:val="000000"/>
        </w:rPr>
        <w:t>үшін ауыл, көше, көппәтерлі тұрғын үй тұрғындары өкілдерінің</w:t>
      </w:r>
      <w:r>
        <w:br/>
      </w:r>
      <w:r>
        <w:rPr>
          <w:rFonts w:ascii="Times New Roman"/>
          <w:b/>
          <w:i w:val="false"/>
          <w:color w:val="000000"/>
        </w:rPr>
        <w:t>санын айқындау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Целиноград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қаулысымен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Целиноград ауданының ауылдарының, ауылдық округтерінің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0" w:id="8"/>
    <w:p>
      <w:pPr>
        <w:spacing w:after="0"/>
        <w:ind w:left="0"/>
        <w:jc w:val="left"/>
      </w:pPr>
      <w:r>
        <w:rPr>
          <w:rFonts w:ascii="Times New Roman"/>
          <w:b/>
          <w:i w:val="false"/>
          <w:color w:val="000000"/>
        </w:rPr>
        <w:t xml:space="preserve"> 2. Целиноград ауданында бөлек жергілікті қоғамдастық</w:t>
      </w:r>
      <w:r>
        <w:br/>
      </w:r>
      <w:r>
        <w:rPr>
          <w:rFonts w:ascii="Times New Roman"/>
          <w:b/>
          <w:i w:val="false"/>
          <w:color w:val="000000"/>
        </w:rPr>
        <w:t>жиындарын өткізу тәртібі</w:t>
      </w:r>
    </w:p>
    <w:bookmarkEnd w:id="8"/>
    <w:bookmarkStart w:name="z11" w:id="9"/>
    <w:p>
      <w:pPr>
        <w:spacing w:after="0"/>
        <w:ind w:left="0"/>
        <w:jc w:val="both"/>
      </w:pPr>
      <w:r>
        <w:rPr>
          <w:rFonts w:ascii="Times New Roman"/>
          <w:b w:val="false"/>
          <w:i w:val="false"/>
          <w:color w:val="000000"/>
          <w:sz w:val="28"/>
        </w:rPr>
        <w:t>
      3. Бөлек жиынды ауылдық округтің әкімі шақырады. Целиноград ауданы әкімінің жергілікті қоғамдастық жиынын өткізуге оң шешімі бар болған жағдайда бөлек жиынды өткізуге болады.</w:t>
      </w:r>
    </w:p>
    <w:bookmarkEnd w:id="9"/>
    <w:bookmarkStart w:name="z12"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газеттер арқылы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 көше, көппәтерлі тұрғын үй шегінде бөлек жиынды өткізуді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w:t>
      </w:r>
    </w:p>
    <w:bookmarkEnd w:id="12"/>
    <w:bookmarkStart w:name="z15" w:id="13"/>
    <w:p>
      <w:pPr>
        <w:spacing w:after="0"/>
        <w:ind w:left="0"/>
        <w:jc w:val="both"/>
      </w:pPr>
      <w:r>
        <w:rPr>
          <w:rFonts w:ascii="Times New Roman"/>
          <w:b w:val="false"/>
          <w:i w:val="false"/>
          <w:color w:val="000000"/>
          <w:sz w:val="28"/>
        </w:rPr>
        <w:t>
      7. Бөлек жиынды ауылдық округ әкімі немесе ол уәкілеттік берген тұлға ашады.</w:t>
      </w:r>
    </w:p>
    <w:bookmarkEnd w:id="13"/>
    <w:bookmarkStart w:name="z16" w:id="14"/>
    <w:p>
      <w:pPr>
        <w:spacing w:after="0"/>
        <w:ind w:left="0"/>
        <w:jc w:val="both"/>
      </w:pPr>
      <w:r>
        <w:rPr>
          <w:rFonts w:ascii="Times New Roman"/>
          <w:b w:val="false"/>
          <w:i w:val="false"/>
          <w:color w:val="000000"/>
          <w:sz w:val="28"/>
        </w:rPr>
        <w:t>
      8. Ауылдық округ әкімі немесе ол уәкілеттік берген тұлға бөлек жиынның төрағасы болып табылады, бөлек жиынның хаттамасын рәсімдеу үшін ашық дауыспен хатшы сайланады.</w:t>
      </w:r>
    </w:p>
    <w:bookmarkEnd w:id="14"/>
    <w:bookmarkStart w:name="z17" w:id="15"/>
    <w:p>
      <w:pPr>
        <w:spacing w:after="0"/>
        <w:ind w:left="0"/>
        <w:jc w:val="both"/>
      </w:pPr>
      <w:r>
        <w:rPr>
          <w:rFonts w:ascii="Times New Roman"/>
          <w:b w:val="false"/>
          <w:i w:val="false"/>
          <w:color w:val="000000"/>
          <w:sz w:val="28"/>
        </w:rPr>
        <w:t>
      9. Бөлек жиында хаттама жүргізіледі, оған төраға мен хатшы қол қояды және оны тиісті ауылдық округ әкімінің аппаратына береді.</w:t>
      </w:r>
    </w:p>
    <w:bookmarkEnd w:id="15"/>
    <w:bookmarkStart w:name="z18" w:id="16"/>
    <w:p>
      <w:pPr>
        <w:spacing w:after="0"/>
        <w:ind w:left="0"/>
        <w:jc w:val="left"/>
      </w:pPr>
      <w:r>
        <w:rPr>
          <w:rFonts w:ascii="Times New Roman"/>
          <w:b/>
          <w:i w:val="false"/>
          <w:color w:val="000000"/>
        </w:rPr>
        <w:t xml:space="preserve"> 3. Жергілікті қоғамдастық жиынына қатысу үшін ауыл, көше,</w:t>
      </w:r>
      <w:r>
        <w:br/>
      </w:r>
      <w:r>
        <w:rPr>
          <w:rFonts w:ascii="Times New Roman"/>
          <w:b/>
          <w:i w:val="false"/>
          <w:color w:val="000000"/>
        </w:rPr>
        <w:t>көппәтерлі тұрғын үй тұрғындары өкілдерінің саны</w:t>
      </w:r>
    </w:p>
    <w:bookmarkEnd w:id="16"/>
    <w:bookmarkStart w:name="z19" w:id="17"/>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ауыл, көше, көппәтерлі тұрғын үй тұрғындарының жалпы санының он пайызы мөлшерінде бөлек жиынның қатысушылары ұсынады.</w:t>
      </w:r>
    </w:p>
    <w:bookmarkEnd w:id="17"/>
    <w:bookmarkStart w:name="z20" w:id="18"/>
    <w:p>
      <w:pPr>
        <w:spacing w:after="0"/>
        <w:ind w:left="0"/>
        <w:jc w:val="both"/>
      </w:pPr>
      <w:r>
        <w:rPr>
          <w:rFonts w:ascii="Times New Roman"/>
          <w:b w:val="false"/>
          <w:i w:val="false"/>
          <w:color w:val="000000"/>
          <w:sz w:val="28"/>
        </w:rPr>
        <w:t>
      11. Жергілікті қоғамдастық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18"/>
    <w:bookmarkStart w:name="z21" w:id="19"/>
    <w:p>
      <w:pPr>
        <w:spacing w:after="0"/>
        <w:ind w:left="0"/>
        <w:jc w:val="both"/>
      </w:pPr>
      <w:r>
        <w:rPr>
          <w:rFonts w:ascii="Times New Roman"/>
          <w:b w:val="false"/>
          <w:i w:val="false"/>
          <w:color w:val="000000"/>
          <w:sz w:val="28"/>
        </w:rPr>
        <w:t xml:space="preserve">
      12. Жергілікті қоғамдастық жиынына қатысу үшін ауыл, көше, көппәтерлі тұрғын үй тұрғындары өкілдерінің саны тең өкілдік ету қағидаты негізінде айқындалады. </w:t>
      </w:r>
    </w:p>
    <w:bookmarkEnd w:id="19"/>
    <w:bookmarkStart w:name="z22" w:id="20"/>
    <w:p>
      <w:pPr>
        <w:spacing w:after="0"/>
        <w:ind w:left="0"/>
        <w:jc w:val="both"/>
      </w:pPr>
      <w:r>
        <w:rPr>
          <w:rFonts w:ascii="Times New Roman"/>
          <w:b w:val="false"/>
          <w:i w:val="false"/>
          <w:color w:val="000000"/>
          <w:sz w:val="28"/>
        </w:rPr>
        <w:t>
      13.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