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5c24" w14:textId="1035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2013 жылғы 6 наурыздағы № 12-109 "Зеренді ауданының жерлерін аймақтарға бөлу схемасын және жер салығының базалық ставкаларын жоғарылату (төмендету) пайыздарын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2016 жылғы 4 сәуірдегі № 2-10 шешімі. Ақмола облысының Әділет Департаментінде 2016 жылғы 22 сәуірде № 5309 болып тіркелді. Күші жойылды - Ақмола облысы Зеренді аудандық мәслихатының 2021 жылғы 19 қарашадағы № 13-87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Зеренді аудандық мәслихаттың "Зеренді ауданының жерлерін аймақтарға бөлу схемасын және жер салығының базалық ставкаларын жоғарылату (төмендету) пайыздарын бекіту туралы" 2013 жылғы 6 наурыздағы № 12-109 (Нормативтік құқықтық актілерді мемлекеттік тіркеу тізілімінде № 3702 тіркелген, 2013 жылғы 19 сәуірде "Зерделі–Зеренді",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ауыл шаруашылығына арналған"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"1, 2 қосымшаларына" сөздері "1 қосымшасына"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"Автотұраққа (паркингке), автомобильге май құю станцияларына бөлінген (бөліп шығарылған) жерлерді қоспағанда"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2016 жылғы "4"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