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4027" w14:textId="49b4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2016 жылғы 15 сәуірдегі № 6С-2-10 шешімі. Ақмола облысының Әділет департаментінде 2016 жылғы 19 мамырда № 5358 болып тіркелді. Күші жойылды - Ақмола облыстық мәслихатының 2017 жылғы 29 наурыздағы № 6С-9-29 шешімімен</w:t>
      </w:r>
    </w:p>
    <w:p>
      <w:pPr>
        <w:spacing w:after="0"/>
        <w:ind w:left="0"/>
        <w:jc w:val="left"/>
      </w:pPr>
      <w:r>
        <w:rPr>
          <w:rFonts w:ascii="Times New Roman"/>
          <w:b w:val="false"/>
          <w:i w:val="false"/>
          <w:color w:val="ff0000"/>
          <w:sz w:val="28"/>
        </w:rPr>
        <w:t xml:space="preserve">      Ескерту. Күші жойылды - Ақмола облыстық мәслихатының 29.03.2017 </w:t>
      </w:r>
      <w:r>
        <w:rPr>
          <w:rFonts w:ascii="Times New Roman"/>
          <w:b w:val="false"/>
          <w:i w:val="false"/>
          <w:color w:val="ff0000"/>
          <w:sz w:val="28"/>
        </w:rPr>
        <w:t>№ 6С-9-29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7)-тармақшасына</w:t>
      </w:r>
      <w:r>
        <w:rPr>
          <w:rFonts w:ascii="Times New Roman"/>
          <w:b w:val="false"/>
          <w:i w:val="false"/>
          <w:color w:val="000000"/>
          <w:sz w:val="28"/>
        </w:rPr>
        <w:t xml:space="preserve">, "Мемлекеттік қызмет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2016 жылғы 15 сәуіріндегі</w:t>
            </w:r>
            <w:r>
              <w:br/>
            </w:r>
            <w:r>
              <w:rPr>
                <w:rFonts w:ascii="Times New Roman"/>
                <w:b w:val="false"/>
                <w:i w:val="false"/>
                <w:color w:val="000000"/>
                <w:sz w:val="20"/>
              </w:rPr>
              <w:t>№ 6С-2-10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"Ақмола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"Мемлекеттік қызмет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құқылы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(бұдан әрі – комиссия хатшысы) лауазымдық нұсқаулығы бойынша кадрлық жұмыстарды жүргізетін аппарат қызметкері болып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бағытталған, олар болмаған жағдайда оның функционалдық міндеттері тұрғысынан "Б" корпусы қызметшісінің жұмыс іс-шараларының атауынан тұрады.</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данасы облыстық мәслихат аппаратының басшысына беріледі. Екінші данасы "Б" корпусы қызметшісінің құрылымдық бөлімшесінің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мемлекеттік органдары өз ерекшеліктерінен шыға отырып белгілейді және жүзеге асырылатын жұмыстың көлемі мен күрделігінің артуы тәртібімен бес деңгейлік шкала бойынша бөлінеді. Бұл ретте көтермеленетін қызмет көрсеткіштері мен түрлеріне Электронды құжат айналымының бірыңғай жүйесінде және мемлекеттік органның Интернет-порталында белгіленетін де, белгіленбейтін де құжаттар мен іс-шаралар кіреді.</w:t>
      </w:r>
      <w:r>
        <w:br/>
      </w:r>
      <w:r>
        <w:rPr>
          <w:rFonts w:ascii="Times New Roman"/>
          <w:b w:val="false"/>
          <w:i w:val="false"/>
          <w:color w:val="000000"/>
          <w:sz w:val="28"/>
        </w:rPr>
        <w:t>
      "Б" корпусының қызметшісіне тікелей басшымен бекітілген шкалаға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"Б" корпусы қызметшісінің тікелей басшысынан құжатпен расталған мәліметтері еңбек тәртібін бұзу фактілері туралы ақпараттың көздері болады.</w:t>
      </w:r>
      <w:r>
        <w:br/>
      </w:r>
      <w:r>
        <w:rPr>
          <w:rFonts w:ascii="Times New Roman"/>
          <w:b w:val="false"/>
          <w:i w:val="false"/>
          <w:color w:val="000000"/>
          <w:sz w:val="28"/>
        </w:rPr>
        <w:t>
      </w:t>
      </w:r>
      <w:r>
        <w:rPr>
          <w:rFonts w:ascii="Times New Roman"/>
          <w:b w:val="false"/>
          <w:i w:val="false"/>
          <w:color w:val="000000"/>
          <w:sz w:val="28"/>
        </w:rPr>
        <w:t>22. Орындаушылық және еңбек тәртібін әрбір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 бойынша міндеттерді орындау жүктелген облыстық мәслихат аппаратының қызметкері берген мәліметтерін есепке ала отырып, бағалау парағында берілген деректердің шынайылығын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іс-қимылы тұрғысынан комиссия хатшысымен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балдары;</w:t>
      </w:r>
      <w:r>
        <w:br/>
      </w:r>
      <w:r>
        <w:rPr>
          <w:rFonts w:ascii="Times New Roman"/>
          <w:b w:val="false"/>
          <w:i w:val="false"/>
          <w:color w:val="000000"/>
          <w:sz w:val="28"/>
        </w:rPr>
        <w:t>
      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80 балдан төмен - "қанағаттанарлықсыз",</w:t>
      </w:r>
      <w:r>
        <w:br/>
      </w:r>
      <w:r>
        <w:rPr>
          <w:rFonts w:ascii="Times New Roman"/>
          <w:b w:val="false"/>
          <w:i w:val="false"/>
          <w:color w:val="000000"/>
          <w:sz w:val="28"/>
        </w:rPr>
        <w:t>
      80 балдан 105 балға дейін – "қанағаттанарлық",</w:t>
      </w:r>
      <w:r>
        <w:br/>
      </w:r>
      <w:r>
        <w:rPr>
          <w:rFonts w:ascii="Times New Roman"/>
          <w:b w:val="false"/>
          <w:i w:val="false"/>
          <w:color w:val="000000"/>
          <w:sz w:val="28"/>
        </w:rPr>
        <w:t>
      106 балдан 130 балға дейін (қоса алғанда) – "тиімді",</w:t>
      </w:r>
      <w:r>
        <w:br/>
      </w:r>
      <w:r>
        <w:rPr>
          <w:rFonts w:ascii="Times New Roman"/>
          <w:b w:val="false"/>
          <w:i w:val="false"/>
          <w:color w:val="000000"/>
          <w:sz w:val="28"/>
        </w:rPr>
        <w:t>
      130 балдан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орташа бағасы (орта арифметикалық мәні).</w:t>
      </w:r>
      <w:r>
        <w:br/>
      </w:r>
      <w:r>
        <w:rPr>
          <w:rFonts w:ascii="Times New Roman"/>
          <w:b w:val="false"/>
          <w:i w:val="false"/>
          <w:color w:val="000000"/>
          <w:sz w:val="28"/>
        </w:rPr>
        <w:t xml:space="preserve">
      Бұл ретте,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шкаланы ескере отырып, тоқсандық бағалардан алынған орта арифметикалық мәні бес балдық бағалау жүйесіне келеді, атап айтқанда:</w:t>
      </w:r>
      <w:r>
        <w:br/>
      </w:r>
      <w:r>
        <w:rPr>
          <w:rFonts w:ascii="Times New Roman"/>
          <w:b w:val="false"/>
          <w:i w:val="false"/>
          <w:color w:val="000000"/>
          <w:sz w:val="28"/>
        </w:rPr>
        <w:t>
      "қанағаттанарлықсыз" мәніне (80 балдан төмен) – 2 балл,</w:t>
      </w:r>
      <w:r>
        <w:br/>
      </w:r>
      <w:r>
        <w:rPr>
          <w:rFonts w:ascii="Times New Roman"/>
          <w:b w:val="false"/>
          <w:i w:val="false"/>
          <w:color w:val="000000"/>
          <w:sz w:val="28"/>
        </w:rPr>
        <w:t>
      "қанағаттанарлық" мәніне (80 балдан 105 балға дейін) – 3 балл,</w:t>
      </w:r>
      <w:r>
        <w:br/>
      </w:r>
      <w:r>
        <w:rPr>
          <w:rFonts w:ascii="Times New Roman"/>
          <w:b w:val="false"/>
          <w:i w:val="false"/>
          <w:color w:val="000000"/>
          <w:sz w:val="28"/>
        </w:rPr>
        <w:t>
      "тиімді" мәніне (106 балдан 130 балға (қоса алғанда) дейін) – 4 балл,</w:t>
      </w:r>
      <w:r>
        <w:br/>
      </w:r>
      <w:r>
        <w:rPr>
          <w:rFonts w:ascii="Times New Roman"/>
          <w:b w:val="false"/>
          <w:i w:val="false"/>
          <w:color w:val="000000"/>
          <w:sz w:val="28"/>
        </w:rPr>
        <w:t>
      "өте жақсы" мәніне (130 балдан астам) – 5 балл қойылады;</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шкала бойынша қойылады:</w:t>
      </w:r>
      <w:r>
        <w:br/>
      </w:r>
      <w:r>
        <w:rPr>
          <w:rFonts w:ascii="Times New Roman"/>
          <w:b w:val="false"/>
          <w:i w:val="false"/>
          <w:color w:val="000000"/>
          <w:sz w:val="28"/>
        </w:rPr>
        <w:t>
      3 балдан төмен – "қанағаттанарлықсыз";</w:t>
      </w:r>
      <w:r>
        <w:br/>
      </w:r>
      <w:r>
        <w:rPr>
          <w:rFonts w:ascii="Times New Roman"/>
          <w:b w:val="false"/>
          <w:i w:val="false"/>
          <w:color w:val="000000"/>
          <w:sz w:val="28"/>
        </w:rPr>
        <w:t>
      3 балдан 4 балға дейін – "қанағаттанарлық;</w:t>
      </w:r>
      <w:r>
        <w:br/>
      </w:r>
      <w:r>
        <w:rPr>
          <w:rFonts w:ascii="Times New Roman"/>
          <w:b w:val="false"/>
          <w:i w:val="false"/>
          <w:color w:val="000000"/>
          <w:sz w:val="28"/>
        </w:rPr>
        <w:t>
      4 балдан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мынадай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Бағалау нәтижелерін қайта қарау туралы шешім қабылданса, Комиссия хаттамада тиісті түсіндірме берумен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асса. Бұл ретте, "Б" корпусы қызметшісінің жұмыс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Комиссия хатшысы "Б" корпусының қызметшісін бағалау нәтижелерімен бағалау аяқталу күнінен бастап екі жұмыс күні ішінде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"Б" корпусы қызметшісінің танысудан бас тартуы бағалау нәтижелерін оның қызмет тізіміне енгізуге кедергі бола алмайды. Бұл жағдайда комиссия хатшысы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76" w:id="9"/>
    <w:p>
      <w:pPr>
        <w:spacing w:after="0"/>
        <w:ind w:left="0"/>
        <w:jc w:val="left"/>
      </w:pPr>
      <w:r>
        <w:rPr>
          <w:rFonts w:ascii="Times New Roman"/>
          <w:b/>
          <w:i w:val="false"/>
          <w:color w:val="000000"/>
        </w:rPr>
        <w:t xml:space="preserve"> 9.Бағалау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 жөнінде сотқа шағымдануға құқығы бар.</w:t>
      </w:r>
      <w:r>
        <w:br/>
      </w:r>
      <w:r>
        <w:rPr>
          <w:rFonts w:ascii="Times New Roman"/>
          <w:b w:val="false"/>
          <w:i w:val="false"/>
          <w:color w:val="000000"/>
          <w:sz w:val="28"/>
        </w:rPr>
        <w:t>
</w:t>
      </w:r>
    </w:p>
    <w:bookmarkStart w:name="z8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жөнінде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заңнамада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жыл (жеке жоспар құрастырылатын кезең)</w:t>
      </w:r>
    </w:p>
    <w:bookmarkEnd w:id="11"/>
    <w:p>
      <w:pPr>
        <w:spacing w:after="0"/>
        <w:ind w:left="0"/>
        <w:jc w:val="left"/>
      </w:pPr>
      <w:r>
        <w:rPr>
          <w:rFonts w:ascii="Times New Roman"/>
          <w:b w:val="false"/>
          <w:i w:val="false"/>
          <w:color w:val="000000"/>
          <w:sz w:val="28"/>
        </w:rPr>
        <w:t>      Қызметшінің Т.А.Ә. (болған жағдайда):____________________________</w:t>
      </w:r>
      <w:r>
        <w:br/>
      </w:r>
      <w:r>
        <w:rPr>
          <w:rFonts w:ascii="Times New Roman"/>
          <w:b w:val="false"/>
          <w:i w:val="false"/>
          <w:color w:val="000000"/>
          <w:sz w:val="28"/>
        </w:rPr>
        <w:t>
      Қызметшінің лауазымы: 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8"/>
        <w:gridCol w:w="6322"/>
      </w:tblGrid>
      <w:tr>
        <w:trPr>
          <w:trHeight w:val="30" w:hRule="atLeast"/>
        </w:trPr>
        <w:tc>
          <w:tcPr>
            <w:tcW w:w="59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8"/>
        <w:gridCol w:w="6322"/>
      </w:tblGrid>
      <w:tr>
        <w:trPr>
          <w:trHeight w:val="30" w:hRule="atLeast"/>
        </w:trPr>
        <w:tc>
          <w:tcPr>
            <w:tcW w:w="59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 xml:space="preserve">(болған жағдайда) </w:t>
            </w:r>
            <w:r>
              <w:rPr>
                <w:rFonts w:ascii="Times New Roman"/>
                <w:b w:val="false"/>
                <w:i w:val="false"/>
                <w:color w:val="000000"/>
                <w:sz w:val="20"/>
              </w:rPr>
              <w:t>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3"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226"/>
        <w:gridCol w:w="4251"/>
        <w:gridCol w:w="2386"/>
        <w:gridCol w:w="1301"/>
        <w:gridCol w:w="83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8"/>
        <w:gridCol w:w="6322"/>
      </w:tblGrid>
      <w:tr>
        <w:trPr>
          <w:trHeight w:val="30" w:hRule="atLeast"/>
        </w:trPr>
        <w:tc>
          <w:tcPr>
            <w:tcW w:w="59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 xml:space="preserve">(болған жағдайда) </w:t>
            </w:r>
            <w:r>
              <w:rPr>
                <w:rFonts w:ascii="Times New Roman"/>
                <w:b w:val="false"/>
                <w:i w:val="false"/>
                <w:color w:val="000000"/>
                <w:sz w:val="20"/>
              </w:rPr>
              <w:t>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7"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