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3efc" w14:textId="f0a3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санының болжамдарын құрастыру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11 қарашадағы № 264 бұйрығы. Қазақстан Республикасының Әділет министрлігінде 2016 жылғы 21 желтоқсанда № 14545 болып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Халық санының болжамдарын құрастыру бойынша әдістеме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көшірмелерін мемлекеттік тіркеуден өткен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Әлеуметтік және демографиялық статистика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(Қ.К. Орынханов)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Ұлттық</w:t>
      </w:r>
      <w:r>
        <w:br/>
      </w:r>
      <w:r>
        <w:rPr>
          <w:rFonts w:ascii="Times New Roman"/>
          <w:b w:val="false"/>
          <w:i w:val="false"/>
          <w:color w:val="000000"/>
          <w:sz w:val="28"/>
        </w:rPr>
        <w:t>
</w:t>
      </w:r>
      <w:r>
        <w:rPr>
          <w:rFonts w:ascii="Times New Roman"/>
          <w:b w:val="false"/>
          <w:i/>
          <w:color w:val="000000"/>
          <w:sz w:val="28"/>
        </w:rPr>
        <w:t xml:space="preserve">      экономика министрлігі Статистика </w:t>
      </w:r>
      <w:r>
        <w:br/>
      </w:r>
      <w:r>
        <w:rPr>
          <w:rFonts w:ascii="Times New Roman"/>
          <w:b w:val="false"/>
          <w:i w:val="false"/>
          <w:color w:val="000000"/>
          <w:sz w:val="28"/>
        </w:rPr>
        <w:t>
</w:t>
      </w:r>
      <w:r>
        <w:rPr>
          <w:rFonts w:ascii="Times New Roman"/>
          <w:b w:val="false"/>
          <w:i/>
          <w:color w:val="000000"/>
          <w:sz w:val="28"/>
        </w:rPr>
        <w:t>      комитетінің төрағасы                       Н. Айдапкелов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xml:space="preserve">
Статистика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2016 жылғы 11 қарашада    </w:t>
      </w:r>
      <w:r>
        <w:br/>
      </w:r>
      <w:r>
        <w:rPr>
          <w:rFonts w:ascii="Times New Roman"/>
          <w:b w:val="false"/>
          <w:i w:val="false"/>
          <w:color w:val="000000"/>
          <w:sz w:val="28"/>
        </w:rPr>
        <w:t xml:space="preserve">
№ 264 бұйрығымен бекітілді </w:t>
      </w:r>
    </w:p>
    <w:bookmarkEnd w:id="1"/>
    <w:bookmarkStart w:name="z12" w:id="2"/>
    <w:p>
      <w:pPr>
        <w:spacing w:after="0"/>
        <w:ind w:left="0"/>
        <w:jc w:val="left"/>
      </w:pPr>
      <w:r>
        <w:rPr>
          <w:rFonts w:ascii="Times New Roman"/>
          <w:b/>
          <w:i w:val="false"/>
          <w:color w:val="000000"/>
        </w:rPr>
        <w:t xml:space="preserve"> 
Халық санының болжамдарын құрастыру бойынша әдістеме</w:t>
      </w:r>
    </w:p>
    <w:bookmarkEnd w:id="2"/>
    <w:bookmarkStart w:name="z13" w:id="3"/>
    <w:p>
      <w:pPr>
        <w:spacing w:after="0"/>
        <w:ind w:left="0"/>
        <w:jc w:val="left"/>
      </w:pPr>
      <w:r>
        <w:rPr>
          <w:rFonts w:ascii="Times New Roman"/>
          <w:b/>
          <w:i w:val="false"/>
          <w:color w:val="000000"/>
        </w:rPr>
        <w:t xml:space="preserve"> 
1-тарау. Жалпы ережелер</w:t>
      </w:r>
    </w:p>
    <w:bookmarkEnd w:id="3"/>
    <w:bookmarkStart w:name="z14" w:id="4"/>
    <w:p>
      <w:pPr>
        <w:spacing w:after="0"/>
        <w:ind w:left="0"/>
        <w:jc w:val="both"/>
      </w:pPr>
      <w:r>
        <w:rPr>
          <w:rFonts w:ascii="Times New Roman"/>
          <w:b w:val="false"/>
          <w:i w:val="false"/>
          <w:color w:val="000000"/>
          <w:sz w:val="28"/>
        </w:rPr>
        <w:t>
      1. Халық санының болжамдарын құрастыру бойынша әдістеме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құрастырылған статистикалық әдіснамаға жатады.</w:t>
      </w:r>
      <w:r>
        <w:br/>
      </w:r>
      <w:r>
        <w:rPr>
          <w:rFonts w:ascii="Times New Roman"/>
          <w:b w:val="false"/>
          <w:i w:val="false"/>
          <w:color w:val="000000"/>
          <w:sz w:val="28"/>
        </w:rPr>
        <w:t>
</w:t>
      </w:r>
      <w:r>
        <w:rPr>
          <w:rFonts w:ascii="Times New Roman"/>
          <w:b w:val="false"/>
          <w:i w:val="false"/>
          <w:color w:val="000000"/>
          <w:sz w:val="28"/>
        </w:rPr>
        <w:t>
      2. Осы Әдістеме қолданыстағы жалпымемлекеттік статистикалық байқаулар шегінде қалыптастырылған ресми статистикалық деректерді пайдаланумен халықтың болжамдық санын есептеу әдістерін айқындайды.</w:t>
      </w:r>
      <w:r>
        <w:br/>
      </w:r>
      <w:r>
        <w:rPr>
          <w:rFonts w:ascii="Times New Roman"/>
          <w:b w:val="false"/>
          <w:i w:val="false"/>
          <w:color w:val="000000"/>
          <w:sz w:val="28"/>
        </w:rPr>
        <w:t>
</w:t>
      </w:r>
      <w:r>
        <w:rPr>
          <w:rFonts w:ascii="Times New Roman"/>
          <w:b w:val="false"/>
          <w:i w:val="false"/>
          <w:color w:val="000000"/>
          <w:sz w:val="28"/>
        </w:rPr>
        <w:t>
      3. Демографиялық болжаудың қажеттілігі болжаулардың міндеттері мен жалпы әлеуметтік-экономикалық үдерістерді жоспарлау міндеттеріне байланысты.</w:t>
      </w:r>
      <w:r>
        <w:br/>
      </w:r>
      <w:r>
        <w:rPr>
          <w:rFonts w:ascii="Times New Roman"/>
          <w:b w:val="false"/>
          <w:i w:val="false"/>
          <w:color w:val="000000"/>
          <w:sz w:val="28"/>
        </w:rPr>
        <w:t>
</w:t>
      </w:r>
      <w:r>
        <w:rPr>
          <w:rFonts w:ascii="Times New Roman"/>
          <w:b w:val="false"/>
          <w:i w:val="false"/>
          <w:color w:val="000000"/>
          <w:sz w:val="28"/>
        </w:rPr>
        <w:t>
      4. Болжамдарды құрастыру үшін ақпараттың көздері – Қазақстан Республикасы Статистика агенттігі төрағасының міндетін атқарушының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6394 болып тіркелген) Әкімшілік дереккөздердің әкімшілік деректерді өтеусіз негізде ұсыну қағидаларына сәйкес алынатын әкімшілік деректер болып табылады.</w:t>
      </w:r>
    </w:p>
    <w:bookmarkEnd w:id="4"/>
    <w:bookmarkStart w:name="z18" w:id="5"/>
    <w:p>
      <w:pPr>
        <w:spacing w:after="0"/>
        <w:ind w:left="0"/>
        <w:jc w:val="left"/>
      </w:pPr>
      <w:r>
        <w:rPr>
          <w:rFonts w:ascii="Times New Roman"/>
          <w:b/>
          <w:i w:val="false"/>
          <w:color w:val="000000"/>
        </w:rPr>
        <w:t xml:space="preserve"> 
2-тарау. Демографиялық болжамдардың вариациялары мен жіктелімдері</w:t>
      </w:r>
    </w:p>
    <w:bookmarkEnd w:id="5"/>
    <w:bookmarkStart w:name="z19" w:id="6"/>
    <w:p>
      <w:pPr>
        <w:spacing w:after="0"/>
        <w:ind w:left="0"/>
        <w:jc w:val="both"/>
      </w:pPr>
      <w:r>
        <w:rPr>
          <w:rFonts w:ascii="Times New Roman"/>
          <w:b w:val="false"/>
          <w:i w:val="false"/>
          <w:color w:val="000000"/>
          <w:sz w:val="28"/>
        </w:rPr>
        <w:t>
      5. Біріккен Ұлттар Ұйымының халықаралық стандарттарына сәйкес халық санының болжамдары келесі нұсқаларда жасалады:</w:t>
      </w:r>
      <w:r>
        <w:br/>
      </w:r>
      <w:r>
        <w:rPr>
          <w:rFonts w:ascii="Times New Roman"/>
          <w:b w:val="false"/>
          <w:i w:val="false"/>
          <w:color w:val="000000"/>
          <w:sz w:val="28"/>
        </w:rPr>
        <w:t>
      1) жоғары (оптимистік);</w:t>
      </w:r>
      <w:r>
        <w:br/>
      </w:r>
      <w:r>
        <w:rPr>
          <w:rFonts w:ascii="Times New Roman"/>
          <w:b w:val="false"/>
          <w:i w:val="false"/>
          <w:color w:val="000000"/>
          <w:sz w:val="28"/>
        </w:rPr>
        <w:t>
      2) орташа (оқиғалардың неғұрлым ықтимал болуы);</w:t>
      </w:r>
      <w:r>
        <w:br/>
      </w:r>
      <w:r>
        <w:rPr>
          <w:rFonts w:ascii="Times New Roman"/>
          <w:b w:val="false"/>
          <w:i w:val="false"/>
          <w:color w:val="000000"/>
          <w:sz w:val="28"/>
        </w:rPr>
        <w:t>
      3) төменгі (пессимистік).</w:t>
      </w:r>
      <w:r>
        <w:br/>
      </w:r>
      <w:r>
        <w:rPr>
          <w:rFonts w:ascii="Times New Roman"/>
          <w:b w:val="false"/>
          <w:i w:val="false"/>
          <w:color w:val="000000"/>
          <w:sz w:val="28"/>
        </w:rPr>
        <w:t>
</w:t>
      </w:r>
      <w:r>
        <w:rPr>
          <w:rFonts w:ascii="Times New Roman"/>
          <w:b w:val="false"/>
          <w:i w:val="false"/>
          <w:color w:val="000000"/>
          <w:sz w:val="28"/>
        </w:rPr>
        <w:t>
      6. Болжамдар шегінің ұзақтығына қарай жіктелінуі:</w:t>
      </w:r>
      <w:r>
        <w:br/>
      </w:r>
      <w:r>
        <w:rPr>
          <w:rFonts w:ascii="Times New Roman"/>
          <w:b w:val="false"/>
          <w:i w:val="false"/>
          <w:color w:val="000000"/>
          <w:sz w:val="28"/>
        </w:rPr>
        <w:t>
      1) қысқа мерзімді (5–10 жыл);</w:t>
      </w:r>
      <w:r>
        <w:br/>
      </w:r>
      <w:r>
        <w:rPr>
          <w:rFonts w:ascii="Times New Roman"/>
          <w:b w:val="false"/>
          <w:i w:val="false"/>
          <w:color w:val="000000"/>
          <w:sz w:val="28"/>
        </w:rPr>
        <w:t>
      2) орта мерзімді (25–30 жыл);</w:t>
      </w:r>
      <w:r>
        <w:br/>
      </w:r>
      <w:r>
        <w:rPr>
          <w:rFonts w:ascii="Times New Roman"/>
          <w:b w:val="false"/>
          <w:i w:val="false"/>
          <w:color w:val="000000"/>
          <w:sz w:val="28"/>
        </w:rPr>
        <w:t xml:space="preserve">
      3) ұзақ мерзімді (30–50 жыл). </w:t>
      </w:r>
    </w:p>
    <w:bookmarkEnd w:id="6"/>
    <w:bookmarkStart w:name="z21" w:id="7"/>
    <w:p>
      <w:pPr>
        <w:spacing w:after="0"/>
        <w:ind w:left="0"/>
        <w:jc w:val="left"/>
      </w:pPr>
      <w:r>
        <w:rPr>
          <w:rFonts w:ascii="Times New Roman"/>
          <w:b/>
          <w:i w:val="false"/>
          <w:color w:val="000000"/>
        </w:rPr>
        <w:t xml:space="preserve"> 
3- тарау. Болжамдық есептеулерде қолданылатын көрсеткіштер</w:t>
      </w:r>
    </w:p>
    <w:bookmarkEnd w:id="7"/>
    <w:bookmarkStart w:name="z22" w:id="8"/>
    <w:p>
      <w:pPr>
        <w:spacing w:after="0"/>
        <w:ind w:left="0"/>
        <w:jc w:val="both"/>
      </w:pPr>
      <w:r>
        <w:rPr>
          <w:rFonts w:ascii="Times New Roman"/>
          <w:b w:val="false"/>
          <w:i w:val="false"/>
          <w:color w:val="000000"/>
          <w:sz w:val="28"/>
        </w:rPr>
        <w:t>
      7. Болжамдық есептеулерде келесі көрсеткіштер қолданылады:</w:t>
      </w:r>
      <w:r>
        <w:br/>
      </w:r>
      <w:r>
        <w:rPr>
          <w:rFonts w:ascii="Times New Roman"/>
          <w:b w:val="false"/>
          <w:i w:val="false"/>
          <w:color w:val="000000"/>
          <w:sz w:val="28"/>
        </w:rPr>
        <w:t>
      1) Туудың жасына қарай коэффициенті промилледе көрсетіледі және белгілі бір жастағы әйелдің туған балаларының санын көрсетеді. Репродуктивті жастың төменгі және жоғарғы шегі ретінде әдетте 15 жас және 49 (44) жас алынады. 15 жастан жас әйелдерден туылғандар мен 50 (45) жастан жоғары жастағы әйелдерден туылғандар төменгі және жоғарғы шекке қосылады. Жасына қарай коэффиент келесі формуламен есептеледі:</w:t>
      </w:r>
    </w:p>
    <w:bookmarkEnd w:id="8"/>
    <w:p>
      <w:pPr>
        <w:spacing w:after="0"/>
        <w:ind w:left="0"/>
        <w:jc w:val="both"/>
      </w:pPr>
      <w:r>
        <w:rPr>
          <w:rFonts w:ascii="Times New Roman"/>
          <w:b w:val="false"/>
          <w:i w:val="false"/>
          <w:color w:val="000000"/>
          <w:sz w:val="28"/>
        </w:rPr>
        <w:t>ASFR=(</w:t>
      </w:r>
      <w:r>
        <w:rPr>
          <w:rFonts w:ascii="Times New Roman"/>
          <w:b w:val="false"/>
          <w:i w:val="false"/>
          <w:color w:val="000000"/>
          <w:vertAlign w:val="subscript"/>
        </w:rPr>
        <w:t> </w:t>
      </w:r>
      <w:r>
        <w:rPr>
          <w:rFonts w:ascii="Times New Roman"/>
          <w:b w:val="false"/>
          <w:i w:val="false"/>
          <w:color w:val="000000"/>
          <w:sz w:val="28"/>
        </w:rPr>
        <w:t>В</w:t>
      </w:r>
      <w:r>
        <w:rPr>
          <w:rFonts w:ascii="Times New Roman"/>
          <w:b w:val="false"/>
          <w:i w:val="false"/>
          <w:color w:val="000000"/>
          <w:vertAlign w:val="subscript"/>
        </w:rPr>
        <w:t>х</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F</w:t>
      </w:r>
      <w:r>
        <w:rPr>
          <w:rFonts w:ascii="Times New Roman"/>
          <w:b w:val="false"/>
          <w:i w:val="false"/>
          <w:color w:val="000000"/>
          <w:vertAlign w:val="subscript"/>
        </w:rPr>
        <w:t>х</w:t>
      </w:r>
      <w:r>
        <w:rPr>
          <w:rFonts w:ascii="Times New Roman"/>
          <w:b w:val="false"/>
          <w:i w:val="false"/>
          <w:color w:val="000000"/>
          <w:sz w:val="28"/>
        </w:rPr>
        <w:t>)х1000,</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ASFR – туудың жасына қарай коэффициенті;</w:t>
      </w:r>
      <w:r>
        <w:br/>
      </w:r>
      <w:r>
        <w:rPr>
          <w:rFonts w:ascii="Times New Roman"/>
          <w:b w:val="false"/>
          <w:i w:val="false"/>
          <w:color w:val="000000"/>
          <w:sz w:val="28"/>
        </w:rPr>
        <w:t>
      В</w:t>
      </w:r>
      <w:r>
        <w:rPr>
          <w:rFonts w:ascii="Times New Roman"/>
          <w:b w:val="false"/>
          <w:i w:val="false"/>
          <w:color w:val="000000"/>
          <w:vertAlign w:val="subscript"/>
        </w:rPr>
        <w:t>Х</w:t>
      </w:r>
      <w:r>
        <w:rPr>
          <w:rFonts w:ascii="Times New Roman"/>
          <w:b w:val="false"/>
          <w:i w:val="false"/>
          <w:color w:val="000000"/>
          <w:sz w:val="28"/>
        </w:rPr>
        <w:t xml:space="preserve"> – х жастағы әйелдерден туғандар саны;</w:t>
      </w:r>
      <w:r>
        <w:br/>
      </w:r>
      <w:r>
        <w:rPr>
          <w:rFonts w:ascii="Times New Roman"/>
          <w:b w:val="false"/>
          <w:i w:val="false"/>
          <w:color w:val="000000"/>
          <w:sz w:val="28"/>
        </w:rPr>
        <w:t>
      F</w:t>
      </w:r>
      <w:r>
        <w:rPr>
          <w:rFonts w:ascii="Times New Roman"/>
          <w:b w:val="false"/>
          <w:i w:val="false"/>
          <w:color w:val="000000"/>
          <w:vertAlign w:val="subscript"/>
        </w:rPr>
        <w:t>Х</w:t>
      </w:r>
      <w:r>
        <w:rPr>
          <w:rFonts w:ascii="Times New Roman"/>
          <w:b w:val="false"/>
          <w:i w:val="false"/>
          <w:color w:val="000000"/>
          <w:sz w:val="28"/>
        </w:rPr>
        <w:t xml:space="preserve"> – x жастағы әйелдердің орташа жылдық саны.</w:t>
      </w:r>
      <w:r>
        <w:br/>
      </w:r>
      <w:r>
        <w:rPr>
          <w:rFonts w:ascii="Times New Roman"/>
          <w:b w:val="false"/>
          <w:i w:val="false"/>
          <w:color w:val="000000"/>
          <w:sz w:val="28"/>
        </w:rPr>
        <w:t>
      2) Халықтың саны мен оның құрамын болжау есептемелері үшін өлім-жітім кестесі негізінде есептелген өмір сүру коэффициенттері пайдаланады. Өлім-жітім кестесінің көрсеткіштері:</w:t>
      </w:r>
    </w:p>
    <w:p>
      <w:pPr>
        <w:spacing w:after="0"/>
        <w:ind w:left="0"/>
        <w:jc w:val="both"/>
      </w:pPr>
      <w:r>
        <w:rPr>
          <w:rFonts w:ascii="Times New Roman"/>
          <w:b w:val="false"/>
          <w:i w:val="false"/>
          <w:color w:val="000000"/>
          <w:sz w:val="28"/>
        </w:rPr>
        <w:t>М</w:t>
      </w:r>
      <w:r>
        <w:rPr>
          <w:rFonts w:ascii="Times New Roman"/>
          <w:b w:val="false"/>
          <w:i w:val="false"/>
          <w:color w:val="000000"/>
          <w:vertAlign w:val="subscript"/>
        </w:rPr>
        <w:t>х</w:t>
      </w:r>
      <w:r>
        <w:rPr>
          <w:rFonts w:ascii="Times New Roman"/>
          <w:b w:val="false"/>
          <w:i w:val="false"/>
          <w:color w:val="000000"/>
          <w:sz w:val="28"/>
        </w:rPr>
        <w:t>=D</w:t>
      </w:r>
      <w:r>
        <w:rPr>
          <w:rFonts w:ascii="Times New Roman"/>
          <w:b w:val="false"/>
          <w:i w:val="false"/>
          <w:color w:val="000000"/>
          <w:vertAlign w:val="subscript"/>
        </w:rPr>
        <w:t>х</w:t>
      </w:r>
      <w:r>
        <w:rPr>
          <w:rFonts w:ascii="Times New Roman"/>
          <w:b w:val="false"/>
          <w:i w:val="false"/>
          <w:color w:val="000000"/>
          <w:sz w:val="28"/>
        </w:rPr>
        <w:t>/P</w:t>
      </w:r>
      <w:r>
        <w:rPr>
          <w:rFonts w:ascii="Times New Roman"/>
          <w:b w:val="false"/>
          <w:i w:val="false"/>
          <w:color w:val="000000"/>
          <w:vertAlign w:val="subscript"/>
        </w:rPr>
        <w:t>х</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M</w:t>
      </w:r>
      <w:r>
        <w:rPr>
          <w:rFonts w:ascii="Times New Roman"/>
          <w:b w:val="false"/>
          <w:i w:val="false"/>
          <w:color w:val="000000"/>
          <w:vertAlign w:val="subscript"/>
        </w:rPr>
        <w:t xml:space="preserve">х </w:t>
      </w:r>
      <w:r>
        <w:rPr>
          <w:rFonts w:ascii="Times New Roman"/>
          <w:b w:val="false"/>
          <w:i w:val="false"/>
          <w:color w:val="000000"/>
          <w:sz w:val="28"/>
        </w:rPr>
        <w:t>– өлім-жітімнің бақыланатын коэффициенті;</w:t>
      </w:r>
      <w:r>
        <w:br/>
      </w:r>
      <w:r>
        <w:rPr>
          <w:rFonts w:ascii="Times New Roman"/>
          <w:b w:val="false"/>
          <w:i w:val="false"/>
          <w:color w:val="000000"/>
          <w:sz w:val="28"/>
        </w:rPr>
        <w:t>
      D</w:t>
      </w:r>
      <w:r>
        <w:rPr>
          <w:rFonts w:ascii="Times New Roman"/>
          <w:b w:val="false"/>
          <w:i w:val="false"/>
          <w:color w:val="000000"/>
          <w:vertAlign w:val="subscript"/>
        </w:rPr>
        <w:t>х</w:t>
      </w:r>
      <w:r>
        <w:rPr>
          <w:rFonts w:ascii="Times New Roman"/>
          <w:b w:val="false"/>
          <w:i w:val="false"/>
          <w:color w:val="000000"/>
          <w:sz w:val="28"/>
        </w:rPr>
        <w:t xml:space="preserve"> – х жаста өлгендер саны; </w:t>
      </w:r>
      <w:r>
        <w:br/>
      </w:r>
      <w:r>
        <w:rPr>
          <w:rFonts w:ascii="Times New Roman"/>
          <w:b w:val="false"/>
          <w:i w:val="false"/>
          <w:color w:val="000000"/>
          <w:sz w:val="28"/>
        </w:rPr>
        <w:t>
      P</w:t>
      </w:r>
      <w:r>
        <w:rPr>
          <w:rFonts w:ascii="Times New Roman"/>
          <w:b w:val="false"/>
          <w:i w:val="false"/>
          <w:color w:val="000000"/>
          <w:vertAlign w:val="subscript"/>
        </w:rPr>
        <w:t>х</w:t>
      </w:r>
      <w:r>
        <w:rPr>
          <w:rFonts w:ascii="Times New Roman"/>
          <w:b w:val="false"/>
          <w:i w:val="false"/>
          <w:color w:val="000000"/>
          <w:sz w:val="28"/>
        </w:rPr>
        <w:t xml:space="preserve"> – х жастағы халықтың орташа жылдық саны.</w:t>
      </w:r>
    </w:p>
    <w:p>
      <w:pPr>
        <w:spacing w:after="0"/>
        <w:ind w:left="0"/>
        <w:jc w:val="both"/>
      </w:pPr>
      <w:r>
        <w:rPr>
          <w:rFonts w:ascii="Times New Roman"/>
          <w:b w:val="false"/>
          <w:i w:val="false"/>
          <w:color w:val="000000"/>
          <w:sz w:val="28"/>
        </w:rPr>
        <w:t>q</w:t>
      </w:r>
      <w:r>
        <w:rPr>
          <w:rFonts w:ascii="Times New Roman"/>
          <w:b w:val="false"/>
          <w:i w:val="false"/>
          <w:color w:val="000000"/>
          <w:vertAlign w:val="subscript"/>
        </w:rPr>
        <w:t>х</w:t>
      </w:r>
      <w:r>
        <w:rPr>
          <w:rFonts w:ascii="Times New Roman"/>
          <w:b w:val="false"/>
          <w:i w:val="false"/>
          <w:color w:val="000000"/>
          <w:sz w:val="28"/>
        </w:rPr>
        <w:t>=m</w:t>
      </w:r>
      <w:r>
        <w:rPr>
          <w:rFonts w:ascii="Times New Roman"/>
          <w:b w:val="false"/>
          <w:i w:val="false"/>
          <w:color w:val="000000"/>
          <w:vertAlign w:val="subscript"/>
        </w:rPr>
        <w:t>х</w:t>
      </w:r>
      <w:r>
        <w:rPr>
          <w:rFonts w:ascii="Times New Roman"/>
          <w:b w:val="false"/>
          <w:i w:val="false"/>
          <w:color w:val="000000"/>
          <w:sz w:val="28"/>
        </w:rPr>
        <w:t>/(1+(1-a</w:t>
      </w:r>
      <w:r>
        <w:rPr>
          <w:rFonts w:ascii="Times New Roman"/>
          <w:b w:val="false"/>
          <w:i w:val="false"/>
          <w:color w:val="000000"/>
          <w:vertAlign w:val="subscript"/>
        </w:rPr>
        <w:t>x</w:t>
      </w:r>
      <w:r>
        <w:rPr>
          <w:rFonts w:ascii="Times New Roman"/>
          <w:b w:val="false"/>
          <w:i w:val="false"/>
          <w:color w:val="000000"/>
          <w:sz w:val="28"/>
        </w:rPr>
        <w:t>)х m</w:t>
      </w:r>
      <w:r>
        <w:rPr>
          <w:rFonts w:ascii="Times New Roman"/>
          <w:b w:val="false"/>
          <w:i w:val="false"/>
          <w:color w:val="000000"/>
          <w:vertAlign w:val="subscript"/>
        </w:rPr>
        <w:t>x</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q</w:t>
      </w:r>
      <w:r>
        <w:rPr>
          <w:rFonts w:ascii="Times New Roman"/>
          <w:b w:val="false"/>
          <w:i w:val="false"/>
          <w:color w:val="000000"/>
          <w:vertAlign w:val="subscript"/>
        </w:rPr>
        <w:t>х</w:t>
      </w:r>
      <w:r>
        <w:rPr>
          <w:rFonts w:ascii="Times New Roman"/>
          <w:b w:val="false"/>
          <w:i w:val="false"/>
          <w:color w:val="000000"/>
          <w:sz w:val="28"/>
        </w:rPr>
        <w:t xml:space="preserve"> – х жаста қайтыс болу ықтималдығы (х-тен х+1-ге дейінгі жас аралығында);</w:t>
      </w:r>
      <w:r>
        <w:br/>
      </w:r>
      <w:r>
        <w:rPr>
          <w:rFonts w:ascii="Times New Roman"/>
          <w:b w:val="false"/>
          <w:i w:val="false"/>
          <w:color w:val="000000"/>
          <w:sz w:val="28"/>
        </w:rPr>
        <w:t>
      m</w:t>
      </w:r>
      <w:r>
        <w:rPr>
          <w:rFonts w:ascii="Times New Roman"/>
          <w:b w:val="false"/>
          <w:i w:val="false"/>
          <w:color w:val="000000"/>
          <w:vertAlign w:val="subscript"/>
        </w:rPr>
        <w:t xml:space="preserve">x </w:t>
      </w:r>
      <w:r>
        <w:rPr>
          <w:rFonts w:ascii="Times New Roman"/>
          <w:b w:val="false"/>
          <w:i w:val="false"/>
          <w:color w:val="000000"/>
          <w:sz w:val="28"/>
        </w:rPr>
        <w:t>– х-тен х+n-ге дейінгі жас аралығындағы өлім-жітімнің жас бойынша коэффициенті;</w:t>
      </w:r>
      <w:r>
        <w:br/>
      </w:r>
      <w:r>
        <w:rPr>
          <w:rFonts w:ascii="Times New Roman"/>
          <w:b w:val="false"/>
          <w:i w:val="false"/>
          <w:color w:val="000000"/>
          <w:sz w:val="28"/>
        </w:rPr>
        <w:t>
      a</w:t>
      </w:r>
      <w:r>
        <w:rPr>
          <w:rFonts w:ascii="Times New Roman"/>
          <w:b w:val="false"/>
          <w:i w:val="false"/>
          <w:color w:val="000000"/>
          <w:vertAlign w:val="subscript"/>
        </w:rPr>
        <w:t>x</w:t>
      </w:r>
      <w:r>
        <w:rPr>
          <w:rFonts w:ascii="Times New Roman"/>
          <w:b w:val="false"/>
          <w:i w:val="false"/>
          <w:color w:val="000000"/>
          <w:sz w:val="28"/>
        </w:rPr>
        <w:t xml:space="preserve"> – түзету коэффициенті (а</w:t>
      </w:r>
      <w:r>
        <w:rPr>
          <w:rFonts w:ascii="Times New Roman"/>
          <w:b w:val="false"/>
          <w:i w:val="false"/>
          <w:color w:val="000000"/>
          <w:vertAlign w:val="subscript"/>
        </w:rPr>
        <w:t>0</w:t>
      </w:r>
      <w:r>
        <w:rPr>
          <w:rFonts w:ascii="Times New Roman"/>
          <w:b w:val="false"/>
          <w:i w:val="false"/>
          <w:color w:val="000000"/>
          <w:sz w:val="28"/>
        </w:rPr>
        <w:t xml:space="preserve"> - 0,3, a</w:t>
      </w:r>
      <w:r>
        <w:rPr>
          <w:rFonts w:ascii="Times New Roman"/>
          <w:b w:val="false"/>
          <w:i w:val="false"/>
          <w:color w:val="000000"/>
          <w:vertAlign w:val="subscript"/>
        </w:rPr>
        <w:t>1</w:t>
      </w:r>
      <w:r>
        <w:rPr>
          <w:rFonts w:ascii="Times New Roman"/>
          <w:b w:val="false"/>
          <w:i w:val="false"/>
          <w:color w:val="000000"/>
          <w:sz w:val="28"/>
        </w:rPr>
        <w:t xml:space="preserve"> - 0,5).</w:t>
      </w:r>
    </w:p>
    <w:p>
      <w:pPr>
        <w:spacing w:after="0"/>
        <w:ind w:left="0"/>
        <w:jc w:val="both"/>
      </w:pPr>
      <w:r>
        <w:rPr>
          <w:rFonts w:ascii="Times New Roman"/>
          <w:b w:val="false"/>
          <w:i w:val="false"/>
          <w:color w:val="000000"/>
          <w:sz w:val="28"/>
        </w:rPr>
        <w:t>p</w:t>
      </w:r>
      <w:r>
        <w:rPr>
          <w:rFonts w:ascii="Times New Roman"/>
          <w:b w:val="false"/>
          <w:i w:val="false"/>
          <w:color w:val="000000"/>
          <w:vertAlign w:val="subscript"/>
        </w:rPr>
        <w:t>x</w:t>
      </w:r>
      <w:r>
        <w:rPr>
          <w:rFonts w:ascii="Times New Roman"/>
          <w:b w:val="false"/>
          <w:i w:val="false"/>
          <w:color w:val="000000"/>
          <w:sz w:val="28"/>
        </w:rPr>
        <w:t>=1- q</w:t>
      </w:r>
      <w:r>
        <w:rPr>
          <w:rFonts w:ascii="Times New Roman"/>
          <w:b w:val="false"/>
          <w:i w:val="false"/>
          <w:color w:val="000000"/>
          <w:vertAlign w:val="subscript"/>
        </w:rPr>
        <w:t>x</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р</w:t>
      </w:r>
      <w:r>
        <w:rPr>
          <w:rFonts w:ascii="Times New Roman"/>
          <w:b w:val="false"/>
          <w:i w:val="false"/>
          <w:color w:val="000000"/>
          <w:vertAlign w:val="subscript"/>
        </w:rPr>
        <w:t>х</w:t>
      </w:r>
      <w:r>
        <w:rPr>
          <w:rFonts w:ascii="Times New Roman"/>
          <w:b w:val="false"/>
          <w:i w:val="false"/>
          <w:color w:val="000000"/>
          <w:sz w:val="28"/>
        </w:rPr>
        <w:t xml:space="preserve"> – х жасқа дейін өмір сүргендердің барлығының х+1 жасқа дейін өмір сүру ықтималдығы;</w:t>
      </w:r>
      <w:r>
        <w:br/>
      </w:r>
      <w:r>
        <w:rPr>
          <w:rFonts w:ascii="Times New Roman"/>
          <w:b w:val="false"/>
          <w:i w:val="false"/>
          <w:color w:val="000000"/>
          <w:sz w:val="28"/>
        </w:rPr>
        <w:t>
      q</w:t>
      </w:r>
      <w:r>
        <w:rPr>
          <w:rFonts w:ascii="Times New Roman"/>
          <w:b w:val="false"/>
          <w:i w:val="false"/>
          <w:color w:val="000000"/>
          <w:vertAlign w:val="subscript"/>
        </w:rPr>
        <w:t>х</w:t>
      </w:r>
      <w:r>
        <w:rPr>
          <w:rFonts w:ascii="Times New Roman"/>
          <w:b w:val="false"/>
          <w:i w:val="false"/>
          <w:color w:val="000000"/>
          <w:sz w:val="28"/>
        </w:rPr>
        <w:t xml:space="preserve"> – х жаста қайтыс болу ықтималдығы (х-тен х+1-ге дейінгі жас аралығында).</w:t>
      </w:r>
    </w:p>
    <w:p>
      <w:pPr>
        <w:spacing w:after="0"/>
        <w:ind w:left="0"/>
        <w:jc w:val="both"/>
      </w:pPr>
      <w:r>
        <w:rPr>
          <w:rFonts w:ascii="Times New Roman"/>
          <w:b w:val="false"/>
          <w:i w:val="false"/>
          <w:color w:val="000000"/>
          <w:sz w:val="28"/>
        </w:rPr>
        <w:t>l</w:t>
      </w:r>
      <w:r>
        <w:rPr>
          <w:rFonts w:ascii="Times New Roman"/>
          <w:b w:val="false"/>
          <w:i w:val="false"/>
          <w:color w:val="000000"/>
          <w:vertAlign w:val="subscript"/>
        </w:rPr>
        <w:t>o</w:t>
      </w:r>
      <w:r>
        <w:rPr>
          <w:rFonts w:ascii="Times New Roman"/>
          <w:b w:val="false"/>
          <w:i w:val="false"/>
          <w:color w:val="000000"/>
          <w:sz w:val="28"/>
        </w:rPr>
        <w:t xml:space="preserve"> =100000, l</w:t>
      </w:r>
      <w:r>
        <w:rPr>
          <w:rFonts w:ascii="Times New Roman"/>
          <w:b w:val="false"/>
          <w:i w:val="false"/>
          <w:color w:val="000000"/>
          <w:vertAlign w:val="subscript"/>
        </w:rPr>
        <w:t>x+1</w:t>
      </w:r>
      <w:r>
        <w:rPr>
          <w:rFonts w:ascii="Times New Roman"/>
          <w:b w:val="false"/>
          <w:i w:val="false"/>
          <w:color w:val="000000"/>
          <w:sz w:val="28"/>
        </w:rPr>
        <w:t>= l</w:t>
      </w:r>
      <w:r>
        <w:rPr>
          <w:rFonts w:ascii="Times New Roman"/>
          <w:b w:val="false"/>
          <w:i w:val="false"/>
          <w:color w:val="000000"/>
          <w:vertAlign w:val="subscript"/>
        </w:rPr>
        <w:t xml:space="preserve">x </w:t>
      </w:r>
      <w:r>
        <w:rPr>
          <w:rFonts w:ascii="Times New Roman"/>
          <w:b w:val="false"/>
          <w:i w:val="false"/>
          <w:color w:val="000000"/>
          <w:sz w:val="28"/>
        </w:rPr>
        <w:t>х</w:t>
      </w:r>
      <w:r>
        <w:rPr>
          <w:rFonts w:ascii="Times New Roman"/>
          <w:b w:val="false"/>
          <w:i w:val="false"/>
          <w:color w:val="000000"/>
          <w:vertAlign w:val="subscript"/>
        </w:rPr>
        <w:t> </w:t>
      </w:r>
      <w:r>
        <w:rPr>
          <w:rFonts w:ascii="Times New Roman"/>
          <w:b w:val="false"/>
          <w:i w:val="false"/>
          <w:color w:val="000000"/>
          <w:sz w:val="28"/>
        </w:rPr>
        <w:t>p</w:t>
      </w:r>
      <w:r>
        <w:rPr>
          <w:rFonts w:ascii="Times New Roman"/>
          <w:b w:val="false"/>
          <w:i w:val="false"/>
          <w:color w:val="000000"/>
          <w:vertAlign w:val="subscript"/>
        </w:rPr>
        <w:t>x</w:t>
      </w:r>
      <w:r>
        <w:rPr>
          <w:rFonts w:ascii="Times New Roman"/>
          <w:b w:val="false"/>
          <w:i w:val="false"/>
          <w:color w:val="000000"/>
          <w:sz w:val="28"/>
        </w:rPr>
        <w:t>, l</w:t>
      </w:r>
      <w:r>
        <w:rPr>
          <w:rFonts w:ascii="Times New Roman"/>
          <w:b w:val="false"/>
          <w:i w:val="false"/>
          <w:color w:val="000000"/>
          <w:vertAlign w:val="subscript"/>
        </w:rPr>
        <w:t>x+2</w:t>
      </w:r>
      <w:r>
        <w:rPr>
          <w:rFonts w:ascii="Times New Roman"/>
          <w:b w:val="false"/>
          <w:i w:val="false"/>
          <w:color w:val="000000"/>
          <w:sz w:val="28"/>
        </w:rPr>
        <w:t>= l</w:t>
      </w:r>
      <w:r>
        <w:rPr>
          <w:rFonts w:ascii="Times New Roman"/>
          <w:b w:val="false"/>
          <w:i w:val="false"/>
          <w:color w:val="000000"/>
          <w:vertAlign w:val="subscript"/>
        </w:rPr>
        <w:t xml:space="preserve">x+1 </w:t>
      </w:r>
      <w:r>
        <w:rPr>
          <w:rFonts w:ascii="Times New Roman"/>
          <w:b w:val="false"/>
          <w:i w:val="false"/>
          <w:color w:val="000000"/>
          <w:sz w:val="28"/>
        </w:rPr>
        <w:t>х</w:t>
      </w:r>
      <w:r>
        <w:rPr>
          <w:rFonts w:ascii="Times New Roman"/>
          <w:b w:val="false"/>
          <w:i w:val="false"/>
          <w:color w:val="000000"/>
          <w:vertAlign w:val="subscript"/>
        </w:rPr>
        <w:t> </w:t>
      </w:r>
      <w:r>
        <w:rPr>
          <w:rFonts w:ascii="Times New Roman"/>
          <w:b w:val="false"/>
          <w:i w:val="false"/>
          <w:color w:val="000000"/>
          <w:sz w:val="28"/>
        </w:rPr>
        <w:t>p</w:t>
      </w:r>
      <w:r>
        <w:rPr>
          <w:rFonts w:ascii="Times New Roman"/>
          <w:b w:val="false"/>
          <w:i w:val="false"/>
          <w:color w:val="000000"/>
          <w:vertAlign w:val="subscript"/>
        </w:rPr>
        <w:t xml:space="preserve">x+1 </w:t>
      </w:r>
      <w:r>
        <w:rPr>
          <w:rFonts w:ascii="Times New Roman"/>
          <w:b w:val="false"/>
          <w:i w:val="false"/>
          <w:color w:val="000000"/>
          <w:sz w:val="28"/>
        </w:rPr>
        <w:t>және тағы басқа,</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l</w:t>
      </w:r>
      <w:r>
        <w:rPr>
          <w:rFonts w:ascii="Times New Roman"/>
          <w:b w:val="false"/>
          <w:i w:val="false"/>
          <w:color w:val="000000"/>
          <w:vertAlign w:val="subscript"/>
        </w:rPr>
        <w:t>x</w:t>
      </w:r>
      <w:r>
        <w:rPr>
          <w:rFonts w:ascii="Times New Roman"/>
          <w:b w:val="false"/>
          <w:i w:val="false"/>
          <w:color w:val="000000"/>
          <w:sz w:val="28"/>
        </w:rPr>
        <w:t xml:space="preserve"> – х жасына дейін өмір сүргендер саны, буынның бастапқы саны немесе кестенің түбірі 100 000 адамға тең деп қабылданады;</w:t>
      </w:r>
      <w:r>
        <w:br/>
      </w:r>
      <w:r>
        <w:rPr>
          <w:rFonts w:ascii="Times New Roman"/>
          <w:b w:val="false"/>
          <w:i w:val="false"/>
          <w:color w:val="000000"/>
          <w:sz w:val="28"/>
        </w:rPr>
        <w:t>
      р</w:t>
      </w:r>
      <w:r>
        <w:rPr>
          <w:rFonts w:ascii="Times New Roman"/>
          <w:b w:val="false"/>
          <w:i w:val="false"/>
          <w:color w:val="000000"/>
          <w:vertAlign w:val="subscript"/>
        </w:rPr>
        <w:t>х</w:t>
      </w:r>
      <w:r>
        <w:rPr>
          <w:rFonts w:ascii="Times New Roman"/>
          <w:b w:val="false"/>
          <w:i w:val="false"/>
          <w:color w:val="000000"/>
          <w:sz w:val="28"/>
        </w:rPr>
        <w:t xml:space="preserve"> – х жасқа дейін өмір сүргендердің барлығының х+1 жасқа дейін өмір сүру ықтималдығы.</w:t>
      </w:r>
    </w:p>
    <w:p>
      <w:pPr>
        <w:spacing w:after="0"/>
        <w:ind w:left="0"/>
        <w:jc w:val="left"/>
      </w:pPr>
      <w:r>
        <w:rPr>
          <w:rFonts w:ascii="Times New Roman"/>
          <w:b/>
          <w:i w:val="false"/>
          <w:color w:val="000000"/>
        </w:rPr>
        <w:t xml:space="preserve"> d</w:t>
      </w:r>
      <w:r>
        <w:rPr>
          <w:rFonts w:ascii="Times New Roman"/>
          <w:b/>
          <w:i w:val="false"/>
          <w:color w:val="000000"/>
          <w:vertAlign w:val="subscript"/>
        </w:rPr>
        <w:t>x</w:t>
      </w:r>
      <w:r>
        <w:rPr>
          <w:rFonts w:ascii="Times New Roman"/>
          <w:b/>
          <w:i w:val="false"/>
          <w:color w:val="000000"/>
        </w:rPr>
        <w:t>= l</w:t>
      </w:r>
      <w:r>
        <w:rPr>
          <w:rFonts w:ascii="Times New Roman"/>
          <w:b/>
          <w:i w:val="false"/>
          <w:color w:val="000000"/>
          <w:vertAlign w:val="subscript"/>
        </w:rPr>
        <w:t>x</w:t>
      </w:r>
      <w:r>
        <w:rPr>
          <w:rFonts w:ascii="Times New Roman"/>
          <w:b/>
          <w:i w:val="false"/>
          <w:color w:val="000000"/>
        </w:rPr>
        <w:t>- l</w:t>
      </w:r>
      <w:r>
        <w:rPr>
          <w:rFonts w:ascii="Times New Roman"/>
          <w:b/>
          <w:i w:val="false"/>
          <w:color w:val="000000"/>
          <w:vertAlign w:val="subscript"/>
        </w:rPr>
        <w:t>x+1</w:t>
      </w:r>
      <w:r>
        <w:rPr>
          <w:rFonts w:ascii="Times New Roman"/>
          <w:b/>
          <w:i w:val="false"/>
          <w:color w:val="000000"/>
        </w:rPr>
        <w:t>,</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d</w:t>
      </w:r>
      <w:r>
        <w:rPr>
          <w:rFonts w:ascii="Times New Roman"/>
          <w:b w:val="false"/>
          <w:i w:val="false"/>
          <w:color w:val="000000"/>
          <w:vertAlign w:val="subscript"/>
        </w:rPr>
        <w:t>x</w:t>
      </w:r>
      <w:r>
        <w:rPr>
          <w:rFonts w:ascii="Times New Roman"/>
          <w:b w:val="false"/>
          <w:i w:val="false"/>
          <w:color w:val="000000"/>
          <w:sz w:val="28"/>
        </w:rPr>
        <w:t xml:space="preserve"> – х жаста қайтыс болғандар саны (х-тен х+1-ге дейінгі жас аралығында);</w:t>
      </w:r>
      <w:r>
        <w:br/>
      </w:r>
      <w:r>
        <w:rPr>
          <w:rFonts w:ascii="Times New Roman"/>
          <w:b w:val="false"/>
          <w:i w:val="false"/>
          <w:color w:val="000000"/>
          <w:sz w:val="28"/>
        </w:rPr>
        <w:t>
      l</w:t>
      </w:r>
      <w:r>
        <w:rPr>
          <w:rFonts w:ascii="Times New Roman"/>
          <w:b w:val="false"/>
          <w:i w:val="false"/>
          <w:color w:val="000000"/>
          <w:vertAlign w:val="subscript"/>
        </w:rPr>
        <w:t>x</w:t>
      </w:r>
      <w:r>
        <w:rPr>
          <w:rFonts w:ascii="Times New Roman"/>
          <w:b w:val="false"/>
          <w:i w:val="false"/>
          <w:color w:val="000000"/>
          <w:sz w:val="28"/>
        </w:rPr>
        <w:t xml:space="preserve"> – х жасына дейін өмір сүргендер саны, буынның бастапқы саны немесе кестенің түбірі 100 000 адамға тең деп қабылданады.</w:t>
      </w:r>
    </w:p>
    <w:p>
      <w:pPr>
        <w:spacing w:after="0"/>
        <w:ind w:left="0"/>
        <w:jc w:val="both"/>
      </w:pPr>
      <w:r>
        <w:rPr>
          <w:rFonts w:ascii="Times New Roman"/>
          <w:b w:val="false"/>
          <w:i w:val="false"/>
          <w:color w:val="000000"/>
          <w:sz w:val="28"/>
        </w:rPr>
        <w:t>L</w:t>
      </w:r>
      <w:r>
        <w:rPr>
          <w:rFonts w:ascii="Times New Roman"/>
          <w:b w:val="false"/>
          <w:i w:val="false"/>
          <w:color w:val="000000"/>
          <w:vertAlign w:val="subscript"/>
        </w:rPr>
        <w:t>x</w:t>
      </w:r>
      <w:r>
        <w:rPr>
          <w:rFonts w:ascii="Times New Roman"/>
          <w:b w:val="false"/>
          <w:i w:val="false"/>
          <w:color w:val="000000"/>
          <w:sz w:val="28"/>
        </w:rPr>
        <w:t>= l</w:t>
      </w:r>
      <w:r>
        <w:rPr>
          <w:rFonts w:ascii="Times New Roman"/>
          <w:b w:val="false"/>
          <w:i w:val="false"/>
          <w:color w:val="000000"/>
          <w:vertAlign w:val="subscript"/>
        </w:rPr>
        <w:t>x</w:t>
      </w:r>
      <w:r>
        <w:rPr>
          <w:rFonts w:ascii="Times New Roman"/>
          <w:b w:val="false"/>
          <w:i w:val="false"/>
          <w:color w:val="000000"/>
          <w:sz w:val="28"/>
        </w:rPr>
        <w:t>+a</w:t>
      </w:r>
      <w:r>
        <w:rPr>
          <w:rFonts w:ascii="Times New Roman"/>
          <w:b w:val="false"/>
          <w:i w:val="false"/>
          <w:color w:val="000000"/>
          <w:vertAlign w:val="subscript"/>
        </w:rPr>
        <w:t>x</w:t>
      </w:r>
      <w:r>
        <w:rPr>
          <w:rFonts w:ascii="Times New Roman"/>
          <w:b w:val="false"/>
          <w:i w:val="false"/>
          <w:color w:val="000000"/>
          <w:sz w:val="28"/>
        </w:rPr>
        <w:t>*d</w:t>
      </w:r>
      <w:r>
        <w:rPr>
          <w:rFonts w:ascii="Times New Roman"/>
          <w:b w:val="false"/>
          <w:i w:val="false"/>
          <w:color w:val="000000"/>
          <w:vertAlign w:val="subscript"/>
        </w:rPr>
        <w:t>x</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L</w:t>
      </w:r>
      <w:r>
        <w:rPr>
          <w:rFonts w:ascii="Times New Roman"/>
          <w:b w:val="false"/>
          <w:i w:val="false"/>
          <w:color w:val="000000"/>
          <w:vertAlign w:val="subscript"/>
        </w:rPr>
        <w:t>x</w:t>
      </w:r>
      <w:r>
        <w:rPr>
          <w:rFonts w:ascii="Times New Roman"/>
          <w:b w:val="false"/>
          <w:i w:val="false"/>
          <w:color w:val="000000"/>
          <w:sz w:val="28"/>
        </w:rPr>
        <w:t xml:space="preserve"> – x жаста өмір сүргендер саны (х-тен х+1-ге дейінгі жас аралығында);</w:t>
      </w:r>
      <w:r>
        <w:br/>
      </w:r>
      <w:r>
        <w:rPr>
          <w:rFonts w:ascii="Times New Roman"/>
          <w:b w:val="false"/>
          <w:i w:val="false"/>
          <w:color w:val="000000"/>
          <w:sz w:val="28"/>
        </w:rPr>
        <w:t>
      d</w:t>
      </w:r>
      <w:r>
        <w:rPr>
          <w:rFonts w:ascii="Times New Roman"/>
          <w:b w:val="false"/>
          <w:i w:val="false"/>
          <w:color w:val="000000"/>
          <w:vertAlign w:val="subscript"/>
        </w:rPr>
        <w:t>x</w:t>
      </w:r>
      <w:r>
        <w:rPr>
          <w:rFonts w:ascii="Times New Roman"/>
          <w:b w:val="false"/>
          <w:i w:val="false"/>
          <w:color w:val="000000"/>
          <w:sz w:val="28"/>
        </w:rPr>
        <w:t xml:space="preserve"> – х жаста қайтыс болғандар саны (х-тен х+1-ге дейінгі жас аралығында);</w:t>
      </w:r>
      <w:r>
        <w:br/>
      </w:r>
      <w:r>
        <w:rPr>
          <w:rFonts w:ascii="Times New Roman"/>
          <w:b w:val="false"/>
          <w:i w:val="false"/>
          <w:color w:val="000000"/>
          <w:sz w:val="28"/>
        </w:rPr>
        <w:t>
      l</w:t>
      </w:r>
      <w:r>
        <w:rPr>
          <w:rFonts w:ascii="Times New Roman"/>
          <w:b w:val="false"/>
          <w:i w:val="false"/>
          <w:color w:val="000000"/>
          <w:vertAlign w:val="subscript"/>
        </w:rPr>
        <w:t>x</w:t>
      </w:r>
      <w:r>
        <w:rPr>
          <w:rFonts w:ascii="Times New Roman"/>
          <w:b w:val="false"/>
          <w:i w:val="false"/>
          <w:color w:val="000000"/>
          <w:sz w:val="28"/>
        </w:rPr>
        <w:t xml:space="preserve"> – х жасына дейін өмір сүргендер саны, буынның бастапқы саны немесе кестенің түбірі 100 000 адамға тең деп қабылданады;</w:t>
      </w:r>
      <w:r>
        <w:br/>
      </w:r>
      <w:r>
        <w:rPr>
          <w:rFonts w:ascii="Times New Roman"/>
          <w:b w:val="false"/>
          <w:i w:val="false"/>
          <w:color w:val="000000"/>
          <w:sz w:val="28"/>
        </w:rPr>
        <w:t>
      a</w:t>
      </w:r>
      <w:r>
        <w:rPr>
          <w:rFonts w:ascii="Times New Roman"/>
          <w:b w:val="false"/>
          <w:i w:val="false"/>
          <w:color w:val="000000"/>
          <w:vertAlign w:val="subscript"/>
        </w:rPr>
        <w:t>x</w:t>
      </w:r>
      <w:r>
        <w:rPr>
          <w:rFonts w:ascii="Times New Roman"/>
          <w:b w:val="false"/>
          <w:i w:val="false"/>
          <w:color w:val="000000"/>
          <w:sz w:val="28"/>
        </w:rPr>
        <w:t xml:space="preserve"> – түзету коэффициенті (а</w:t>
      </w:r>
      <w:r>
        <w:rPr>
          <w:rFonts w:ascii="Times New Roman"/>
          <w:b w:val="false"/>
          <w:i w:val="false"/>
          <w:color w:val="000000"/>
          <w:vertAlign w:val="subscript"/>
        </w:rPr>
        <w:t>0</w:t>
      </w:r>
      <w:r>
        <w:rPr>
          <w:rFonts w:ascii="Times New Roman"/>
          <w:b w:val="false"/>
          <w:i w:val="false"/>
          <w:color w:val="000000"/>
          <w:sz w:val="28"/>
        </w:rPr>
        <w:t xml:space="preserve"> - 0,3, a</w:t>
      </w:r>
      <w:r>
        <w:rPr>
          <w:rFonts w:ascii="Times New Roman"/>
          <w:b w:val="false"/>
          <w:i w:val="false"/>
          <w:color w:val="000000"/>
          <w:vertAlign w:val="subscript"/>
        </w:rPr>
        <w:t>1</w:t>
      </w:r>
      <w:r>
        <w:rPr>
          <w:rFonts w:ascii="Times New Roman"/>
          <w:b w:val="false"/>
          <w:i w:val="false"/>
          <w:color w:val="000000"/>
          <w:sz w:val="28"/>
        </w:rPr>
        <w:t xml:space="preserve"> - 0,5).</w:t>
      </w:r>
    </w:p>
    <w:p>
      <w:pPr>
        <w:spacing w:after="0"/>
        <w:ind w:left="0"/>
        <w:jc w:val="both"/>
      </w:pPr>
      <w:r>
        <w:rPr>
          <w:rFonts w:ascii="Times New Roman"/>
          <w:b w:val="false"/>
          <w:i w:val="false"/>
          <w:color w:val="000000"/>
          <w:sz w:val="28"/>
        </w:rPr>
        <w:t>T</w:t>
      </w:r>
      <w:r>
        <w:rPr>
          <w:rFonts w:ascii="Times New Roman"/>
          <w:b w:val="false"/>
          <w:i w:val="false"/>
          <w:color w:val="000000"/>
          <w:vertAlign w:val="subscript"/>
        </w:rPr>
        <w:t>x</w:t>
      </w:r>
      <w:r>
        <w:rPr>
          <w:rFonts w:ascii="Times New Roman"/>
          <w:b w:val="false"/>
          <w:i w:val="false"/>
          <w:color w:val="000000"/>
          <w:sz w:val="28"/>
        </w:rPr>
        <w:t>= L</w:t>
      </w:r>
      <w:r>
        <w:rPr>
          <w:rFonts w:ascii="Times New Roman"/>
          <w:b w:val="false"/>
          <w:i w:val="false"/>
          <w:color w:val="000000"/>
          <w:vertAlign w:val="subscript"/>
        </w:rPr>
        <w:t>x</w:t>
      </w:r>
      <w:r>
        <w:rPr>
          <w:rFonts w:ascii="Times New Roman"/>
          <w:b w:val="false"/>
          <w:i w:val="false"/>
          <w:color w:val="000000"/>
          <w:sz w:val="28"/>
        </w:rPr>
        <w:t>+L</w:t>
      </w:r>
      <w:r>
        <w:rPr>
          <w:rFonts w:ascii="Times New Roman"/>
          <w:b w:val="false"/>
          <w:i w:val="false"/>
          <w:color w:val="000000"/>
          <w:vertAlign w:val="subscript"/>
        </w:rPr>
        <w:t>x+1</w:t>
      </w:r>
      <w:r>
        <w:rPr>
          <w:rFonts w:ascii="Times New Roman"/>
          <w:b w:val="false"/>
          <w:i w:val="false"/>
          <w:color w:val="000000"/>
          <w:sz w:val="28"/>
        </w:rPr>
        <w:t>+…+L</w:t>
      </w:r>
      <w:r>
        <w:rPr>
          <w:rFonts w:ascii="Times New Roman"/>
          <w:b w:val="false"/>
          <w:i w:val="false"/>
          <w:color w:val="000000"/>
          <w:vertAlign w:val="subscript"/>
        </w:rPr>
        <w:t>w</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Т</w:t>
      </w:r>
      <w:r>
        <w:rPr>
          <w:rFonts w:ascii="Times New Roman"/>
          <w:b w:val="false"/>
          <w:i w:val="false"/>
          <w:color w:val="000000"/>
          <w:vertAlign w:val="subscript"/>
        </w:rPr>
        <w:t>х</w:t>
      </w:r>
      <w:r>
        <w:rPr>
          <w:rFonts w:ascii="Times New Roman"/>
          <w:b w:val="false"/>
          <w:i w:val="false"/>
          <w:color w:val="000000"/>
          <w:sz w:val="28"/>
        </w:rPr>
        <w:t xml:space="preserve"> – х және одан жоғары жаста өмір сүргендер саны (осы буынның алдағы өмірінің адам-жас саны);</w:t>
      </w:r>
      <w:r>
        <w:br/>
      </w:r>
      <w:r>
        <w:rPr>
          <w:rFonts w:ascii="Times New Roman"/>
          <w:b w:val="false"/>
          <w:i w:val="false"/>
          <w:color w:val="000000"/>
          <w:sz w:val="28"/>
        </w:rPr>
        <w:t>
      L</w:t>
      </w:r>
      <w:r>
        <w:rPr>
          <w:rFonts w:ascii="Times New Roman"/>
          <w:b w:val="false"/>
          <w:i w:val="false"/>
          <w:color w:val="000000"/>
          <w:vertAlign w:val="subscript"/>
        </w:rPr>
        <w:t>x</w:t>
      </w:r>
      <w:r>
        <w:rPr>
          <w:rFonts w:ascii="Times New Roman"/>
          <w:b w:val="false"/>
          <w:i w:val="false"/>
          <w:color w:val="000000"/>
          <w:sz w:val="28"/>
        </w:rPr>
        <w:t xml:space="preserve"> – x жаста өмір сүргендер саны (х-тен х+1-ге дейінгі жас аралығында).</w:t>
      </w:r>
    </w:p>
    <w:p>
      <w:pPr>
        <w:spacing w:after="0"/>
        <w:ind w:left="0"/>
        <w:jc w:val="both"/>
      </w:pPr>
      <w:r>
        <w:drawing>
          <wp:inline distT="0" distB="0" distL="0" distR="0">
            <wp:extent cx="2324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24100" cy="990600"/>
                    </a:xfrm>
                    <a:prstGeom prst="rect">
                      <a:avLst/>
                    </a:prstGeom>
                  </pic:spPr>
                </pic:pic>
              </a:graphicData>
            </a:graphic>
          </wp:inline>
        </w:drawing>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е</w:t>
      </w:r>
      <w:r>
        <w:rPr>
          <w:rFonts w:ascii="Times New Roman"/>
          <w:b w:val="false"/>
          <w:i w:val="false"/>
          <w:color w:val="000000"/>
          <w:vertAlign w:val="subscript"/>
        </w:rPr>
        <w:t>0</w:t>
      </w:r>
      <w:r>
        <w:rPr>
          <w:rFonts w:ascii="Times New Roman"/>
          <w:b w:val="false"/>
          <w:i w:val="false"/>
          <w:color w:val="000000"/>
          <w:sz w:val="28"/>
        </w:rPr>
        <w:t xml:space="preserve"> – туылғанда күтілетін орташа өмір ұзақтығы;</w:t>
      </w:r>
      <w:r>
        <w:br/>
      </w:r>
      <w:r>
        <w:rPr>
          <w:rFonts w:ascii="Times New Roman"/>
          <w:b w:val="false"/>
          <w:i w:val="false"/>
          <w:color w:val="000000"/>
          <w:sz w:val="28"/>
        </w:rPr>
        <w:t>
      Т</w:t>
      </w:r>
      <w:r>
        <w:rPr>
          <w:rFonts w:ascii="Times New Roman"/>
          <w:b w:val="false"/>
          <w:i w:val="false"/>
          <w:color w:val="000000"/>
          <w:vertAlign w:val="subscript"/>
        </w:rPr>
        <w:t>х</w:t>
      </w:r>
      <w:r>
        <w:rPr>
          <w:rFonts w:ascii="Times New Roman"/>
          <w:b w:val="false"/>
          <w:i w:val="false"/>
          <w:color w:val="000000"/>
          <w:sz w:val="28"/>
        </w:rPr>
        <w:t xml:space="preserve"> – х және одан жоғары жаста өмір сүргендер саны (осы буынның алдағы өмірінің адам-жас саны);</w:t>
      </w:r>
      <w:r>
        <w:br/>
      </w:r>
      <w:r>
        <w:rPr>
          <w:rFonts w:ascii="Times New Roman"/>
          <w:b w:val="false"/>
          <w:i w:val="false"/>
          <w:color w:val="000000"/>
          <w:sz w:val="28"/>
        </w:rPr>
        <w:t>
      L</w:t>
      </w:r>
      <w:r>
        <w:rPr>
          <w:rFonts w:ascii="Times New Roman"/>
          <w:b w:val="false"/>
          <w:i w:val="false"/>
          <w:color w:val="000000"/>
          <w:vertAlign w:val="subscript"/>
        </w:rPr>
        <w:t xml:space="preserve">x </w:t>
      </w:r>
      <w:r>
        <w:rPr>
          <w:rFonts w:ascii="Times New Roman"/>
          <w:b w:val="false"/>
          <w:i w:val="false"/>
          <w:color w:val="000000"/>
          <w:sz w:val="28"/>
        </w:rPr>
        <w:t>– x жаста өмір сүргендер саны (х-тен х+1-ге дейінгі жас аралығында);</w:t>
      </w:r>
      <w:r>
        <w:br/>
      </w:r>
      <w:r>
        <w:rPr>
          <w:rFonts w:ascii="Times New Roman"/>
          <w:b w:val="false"/>
          <w:i w:val="false"/>
          <w:color w:val="000000"/>
          <w:sz w:val="28"/>
        </w:rPr>
        <w:t>
      l</w:t>
      </w:r>
      <w:r>
        <w:rPr>
          <w:rFonts w:ascii="Times New Roman"/>
          <w:b w:val="false"/>
          <w:i w:val="false"/>
          <w:color w:val="000000"/>
          <w:vertAlign w:val="subscript"/>
        </w:rPr>
        <w:t xml:space="preserve">0 </w:t>
      </w:r>
      <w:r>
        <w:rPr>
          <w:rFonts w:ascii="Times New Roman"/>
          <w:b w:val="false"/>
          <w:i w:val="false"/>
          <w:color w:val="000000"/>
          <w:sz w:val="28"/>
        </w:rPr>
        <w:t>– буынның бастапқы саны немесе кестенің түбірі 100 000 адамға тең деп қабылданады.</w:t>
      </w:r>
    </w:p>
    <w:p>
      <w:pPr>
        <w:spacing w:after="0"/>
        <w:ind w:left="0"/>
        <w:jc w:val="both"/>
      </w:pPr>
      <w:r>
        <w:drawing>
          <wp:inline distT="0" distB="0" distL="0" distR="0">
            <wp:extent cx="1879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79600" cy="927100"/>
                    </a:xfrm>
                    <a:prstGeom prst="rect">
                      <a:avLst/>
                    </a:prstGeom>
                  </pic:spPr>
                </pic:pic>
              </a:graphicData>
            </a:graphic>
          </wp:inline>
        </w:drawing>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е</w:t>
      </w:r>
      <w:r>
        <w:rPr>
          <w:rFonts w:ascii="Times New Roman"/>
          <w:b w:val="false"/>
          <w:i w:val="false"/>
          <w:color w:val="000000"/>
          <w:vertAlign w:val="subscript"/>
        </w:rPr>
        <w:t>х</w:t>
      </w:r>
      <w:r>
        <w:rPr>
          <w:rFonts w:ascii="Times New Roman"/>
          <w:b w:val="false"/>
          <w:i w:val="false"/>
          <w:color w:val="000000"/>
          <w:sz w:val="28"/>
        </w:rPr>
        <w:t xml:space="preserve"> – х жасқа толғандар үшін күтілетін орташа өмір ұзақтығы;</w:t>
      </w:r>
      <w:r>
        <w:br/>
      </w:r>
      <w:r>
        <w:rPr>
          <w:rFonts w:ascii="Times New Roman"/>
          <w:b w:val="false"/>
          <w:i w:val="false"/>
          <w:color w:val="000000"/>
          <w:sz w:val="28"/>
        </w:rPr>
        <w:t>
      </w:t>
      </w: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03200"/>
                    </a:xfrm>
                    <a:prstGeom prst="rect">
                      <a:avLst/>
                    </a:prstGeom>
                  </pic:spPr>
                </pic:pic>
              </a:graphicData>
            </a:graphic>
          </wp:inline>
        </w:drawing>
      </w:r>
      <w:r>
        <w:rPr>
          <w:rFonts w:ascii="Times New Roman"/>
          <w:b w:val="false"/>
          <w:i w:val="false"/>
          <w:color w:val="000000"/>
          <w:sz w:val="28"/>
        </w:rPr>
        <w:t xml:space="preserve"> – бірде бір адам жетпейтін шекті жас;</w:t>
      </w:r>
      <w:r>
        <w:br/>
      </w:r>
      <w:r>
        <w:rPr>
          <w:rFonts w:ascii="Times New Roman"/>
          <w:b w:val="false"/>
          <w:i w:val="false"/>
          <w:color w:val="000000"/>
          <w:sz w:val="28"/>
        </w:rPr>
        <w:t>
      Т</w:t>
      </w:r>
      <w:r>
        <w:rPr>
          <w:rFonts w:ascii="Times New Roman"/>
          <w:b w:val="false"/>
          <w:i w:val="false"/>
          <w:color w:val="000000"/>
          <w:vertAlign w:val="subscript"/>
        </w:rPr>
        <w:t>х</w:t>
      </w:r>
      <w:r>
        <w:rPr>
          <w:rFonts w:ascii="Times New Roman"/>
          <w:b w:val="false"/>
          <w:i w:val="false"/>
          <w:color w:val="000000"/>
          <w:sz w:val="28"/>
        </w:rPr>
        <w:t xml:space="preserve"> – х және одан жоғары жаста өмір сүргендер саны (осы буынның алдағы өмірінің адам-жас саны);</w:t>
      </w:r>
      <w:r>
        <w:br/>
      </w:r>
      <w:r>
        <w:rPr>
          <w:rFonts w:ascii="Times New Roman"/>
          <w:b w:val="false"/>
          <w:i w:val="false"/>
          <w:color w:val="000000"/>
          <w:sz w:val="28"/>
        </w:rPr>
        <w:t>
      L</w:t>
      </w:r>
      <w:r>
        <w:rPr>
          <w:rFonts w:ascii="Times New Roman"/>
          <w:b w:val="false"/>
          <w:i w:val="false"/>
          <w:color w:val="000000"/>
          <w:vertAlign w:val="subscript"/>
        </w:rPr>
        <w:t xml:space="preserve">x </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x жаста өмір сүргендер саны (х-тен х+1-ге дейінгі жас аралығында);</w:t>
      </w:r>
      <w:r>
        <w:br/>
      </w:r>
      <w:r>
        <w:rPr>
          <w:rFonts w:ascii="Times New Roman"/>
          <w:b w:val="false"/>
          <w:i w:val="false"/>
          <w:color w:val="000000"/>
          <w:sz w:val="28"/>
        </w:rPr>
        <w:t>
      l</w:t>
      </w:r>
      <w:r>
        <w:rPr>
          <w:rFonts w:ascii="Times New Roman"/>
          <w:b w:val="false"/>
          <w:i w:val="false"/>
          <w:color w:val="000000"/>
          <w:vertAlign w:val="subscript"/>
        </w:rPr>
        <w:t xml:space="preserve">x </w:t>
      </w:r>
      <w:r>
        <w:rPr>
          <w:rFonts w:ascii="Times New Roman"/>
          <w:b w:val="false"/>
          <w:i w:val="false"/>
          <w:color w:val="000000"/>
          <w:sz w:val="28"/>
        </w:rPr>
        <w:t>– х жасына дейін өмір сүргендер саны.</w:t>
      </w:r>
    </w:p>
    <w:bookmarkStart w:name="z23" w:id="9"/>
    <w:p>
      <w:pPr>
        <w:spacing w:after="0"/>
        <w:ind w:left="0"/>
        <w:jc w:val="left"/>
      </w:pPr>
      <w:r>
        <w:rPr>
          <w:rFonts w:ascii="Times New Roman"/>
          <w:b/>
          <w:i w:val="false"/>
          <w:color w:val="000000"/>
        </w:rPr>
        <w:t xml:space="preserve"> 
4-тарау. Демографиялық болжамдардың негізгі әдістері</w:t>
      </w:r>
    </w:p>
    <w:bookmarkEnd w:id="9"/>
    <w:bookmarkStart w:name="z24" w:id="10"/>
    <w:p>
      <w:pPr>
        <w:spacing w:after="0"/>
        <w:ind w:left="0"/>
        <w:jc w:val="both"/>
      </w:pPr>
      <w:r>
        <w:rPr>
          <w:rFonts w:ascii="Times New Roman"/>
          <w:b w:val="false"/>
          <w:i w:val="false"/>
          <w:color w:val="000000"/>
          <w:sz w:val="28"/>
        </w:rPr>
        <w:t>
      8.Демографиялы қ болжамдардың негізгі әдісі –</w:t>
      </w:r>
      <w:r>
        <w:rPr>
          <w:rFonts w:ascii="Times New Roman"/>
          <w:b w:val="false"/>
          <w:i w:val="false"/>
          <w:color w:val="000000"/>
          <w:vertAlign w:val="subscript"/>
        </w:rPr>
        <w:t> </w:t>
      </w:r>
      <w:r>
        <w:rPr>
          <w:rFonts w:ascii="Times New Roman"/>
          <w:b w:val="false"/>
          <w:i w:val="false"/>
          <w:color w:val="000000"/>
          <w:sz w:val="28"/>
        </w:rPr>
        <w:t xml:space="preserve"> жастарды жылжыту әдісі немесе компонеттер әдісі (когортты-компонентті) болып табылады. Болжамдар жабық халық үшін (бұнда гипотетикалық тұрғыда халықтың қандай да бір көші-қоны жоқ) және ашық халық үшін (халықтың көші-қонымен) жасалады.</w:t>
      </w:r>
      <w:r>
        <w:br/>
      </w:r>
      <w:r>
        <w:rPr>
          <w:rFonts w:ascii="Times New Roman"/>
          <w:b w:val="false"/>
          <w:i w:val="false"/>
          <w:color w:val="000000"/>
          <w:sz w:val="28"/>
        </w:rPr>
        <w:t>
</w:t>
      </w:r>
      <w:r>
        <w:rPr>
          <w:rFonts w:ascii="Times New Roman"/>
          <w:b w:val="false"/>
          <w:i w:val="false"/>
          <w:color w:val="000000"/>
          <w:sz w:val="28"/>
        </w:rPr>
        <w:t>
      9. Компонеттер әдісі (когортты-компонентті немесе жастарды жылжыту әдісі) халықтың тек жалпы санын ғана емес, оның жыныс-жас құрылымын да алуға мүмкіндік береді. Компоненттер әдісі көші-қонның (келгендер мен кеткендер) жасы бойынша қарқынын да ескеріледі.</w:t>
      </w:r>
      <w:r>
        <w:br/>
      </w:r>
      <w:r>
        <w:rPr>
          <w:rFonts w:ascii="Times New Roman"/>
          <w:b w:val="false"/>
          <w:i w:val="false"/>
          <w:color w:val="000000"/>
          <w:sz w:val="28"/>
        </w:rPr>
        <w:t>
      Халықтың бастапқы саны мен оның құрылымы өлгендер мен көшіп кеткендер есебінен азайып, туғандар мен көшіп келгендер есебінен көбейіп отыра болашаққа «жылжытылады». Бастапқы деректер мен болжау үшін халық санағының қорытындысы және болжау кезеңіндегі өсіп-өну мен көші-қон тенденциялары бойынша гипотезалар (жорамалдар) халықтың саны мен оның құрылымы болып табылады. Болжамдық есептер әйелдер мен еркектер үшін жеке жасалады. Жылжыту халықтың жас топтары ұзындығына тең мерзімдік қадамдар бойынша жүзеге асырылады. Әрбір болжау қадамы кезінде тірі қалған жас топтарындағы халықтың саны келесі (үлкен ересек) жас аралығына ауысып отырады. Бұл үшін бастапқы халықтың әрбір жас топтарындағы саны (болжау мерзімінің басындағы халық), болжау мерзіміндегі өлімнің болжамды үрдістерін (болжамдарын) сипаттайтын өлім кестелеріндегі L</w:t>
      </w:r>
      <w:r>
        <w:rPr>
          <w:rFonts w:ascii="Times New Roman"/>
          <w:b w:val="false"/>
          <w:i w:val="false"/>
          <w:color w:val="000000"/>
          <w:vertAlign w:val="subscript"/>
        </w:rPr>
        <w:t>x</w:t>
      </w:r>
      <w:r>
        <w:rPr>
          <w:rFonts w:ascii="Times New Roman"/>
          <w:b w:val="false"/>
          <w:i w:val="false"/>
          <w:color w:val="000000"/>
          <w:sz w:val="28"/>
        </w:rPr>
        <w:t xml:space="preserve"> өмір сүріп жатқандардың қатар екі тобының қатынасы болып келетін, келесі (үлкен ересек) жас аралығына дейін өмір сүру коэффициентіне көбейтіледі.</w:t>
      </w:r>
      <w:r>
        <w:br/>
      </w:r>
      <w:r>
        <w:rPr>
          <w:rFonts w:ascii="Times New Roman"/>
          <w:b w:val="false"/>
          <w:i w:val="false"/>
          <w:color w:val="000000"/>
          <w:sz w:val="28"/>
        </w:rPr>
        <w:t>
      Әрбір қадам үшін туылғандардың гипотикалық саны анықталып, ол кіші жас тобына қосылады (нәрестелердің бірінші жас аралығына дейін өмір сүру ықтималдығына түзетуімен). Болжаудың әрбір келесі қадамында есептеу үдерісі қайталанады. Есеп мына түрде жүргізіледі:</w:t>
      </w:r>
    </w:p>
    <w:bookmarkEnd w:id="10"/>
    <w:p>
      <w:pPr>
        <w:spacing w:after="0"/>
        <w:ind w:left="0"/>
        <w:jc w:val="both"/>
      </w:pPr>
      <w:r>
        <w:drawing>
          <wp:inline distT="0" distB="0" distL="0" distR="0">
            <wp:extent cx="2336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36800" cy="622300"/>
                    </a:xfrm>
                    <a:prstGeom prst="rect">
                      <a:avLst/>
                    </a:prstGeom>
                  </pic:spPr>
                </pic:pic>
              </a:graphicData>
            </a:graphic>
          </wp:inline>
        </w:drawing>
      </w:r>
    </w:p>
    <w:bookmarkStart w:name="z26" w:id="11"/>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Р</w:t>
      </w:r>
      <w:r>
        <w:rPr>
          <w:rFonts w:ascii="Times New Roman"/>
          <w:b w:val="false"/>
          <w:i w:val="false"/>
          <w:color w:val="000000"/>
          <w:vertAlign w:val="subscript"/>
        </w:rPr>
        <w:t xml:space="preserve">х+п </w:t>
      </w:r>
      <w:r>
        <w:rPr>
          <w:rFonts w:ascii="Times New Roman"/>
          <w:b w:val="false"/>
          <w:i w:val="false"/>
          <w:color w:val="000000"/>
          <w:sz w:val="28"/>
        </w:rPr>
        <w:t>– x+n жасындағы халықтың болжамды саны;</w:t>
      </w:r>
      <w:r>
        <w:br/>
      </w:r>
      <w:r>
        <w:rPr>
          <w:rFonts w:ascii="Times New Roman"/>
          <w:b w:val="false"/>
          <w:i w:val="false"/>
          <w:color w:val="000000"/>
          <w:sz w:val="28"/>
        </w:rPr>
        <w:t>
      Р</w:t>
      </w:r>
      <w:r>
        <w:rPr>
          <w:rFonts w:ascii="Times New Roman"/>
          <w:b w:val="false"/>
          <w:i w:val="false"/>
          <w:color w:val="000000"/>
          <w:vertAlign w:val="subscript"/>
        </w:rPr>
        <w:t xml:space="preserve">х </w:t>
      </w:r>
      <w:r>
        <w:rPr>
          <w:rFonts w:ascii="Times New Roman"/>
          <w:b w:val="false"/>
          <w:i w:val="false"/>
          <w:color w:val="000000"/>
          <w:sz w:val="28"/>
        </w:rPr>
        <w:t>– x жасындағы халықтың бастапқы саны;</w:t>
      </w:r>
      <w:r>
        <w:br/>
      </w:r>
      <w:r>
        <w:rPr>
          <w:rFonts w:ascii="Times New Roman"/>
          <w:b w:val="false"/>
          <w:i w:val="false"/>
          <w:color w:val="000000"/>
          <w:sz w:val="28"/>
        </w:rPr>
        <w:t>
      L</w:t>
      </w:r>
      <w:r>
        <w:rPr>
          <w:rFonts w:ascii="Times New Roman"/>
          <w:b w:val="false"/>
          <w:i w:val="false"/>
          <w:color w:val="000000"/>
          <w:vertAlign w:val="subscript"/>
        </w:rPr>
        <w:t>х</w:t>
      </w:r>
      <w:r>
        <w:rPr>
          <w:rFonts w:ascii="Times New Roman"/>
          <w:b w:val="false"/>
          <w:i w:val="false"/>
          <w:color w:val="000000"/>
          <w:sz w:val="28"/>
        </w:rPr>
        <w:t xml:space="preserve"> және L</w:t>
      </w:r>
      <w:r>
        <w:rPr>
          <w:rFonts w:ascii="Times New Roman"/>
          <w:b w:val="false"/>
          <w:i w:val="false"/>
          <w:color w:val="000000"/>
          <w:vertAlign w:val="subscript"/>
        </w:rPr>
        <w:t>х+n</w:t>
      </w:r>
      <w:r>
        <w:rPr>
          <w:rFonts w:ascii="Times New Roman"/>
          <w:b w:val="false"/>
          <w:i w:val="false"/>
          <w:color w:val="000000"/>
          <w:sz w:val="28"/>
        </w:rPr>
        <w:t xml:space="preserve"> – өлім кестелеріндегі өмір сүріп жатқандардың қатар екі тобының халық саны;</w:t>
      </w:r>
      <w:r>
        <w:br/>
      </w:r>
      <w:r>
        <w:rPr>
          <w:rFonts w:ascii="Times New Roman"/>
          <w:b w:val="false"/>
          <w:i w:val="false"/>
          <w:color w:val="000000"/>
          <w:sz w:val="28"/>
        </w:rPr>
        <w:t>
      n – жас аралығының ұзындығы (әрі – болжам қадамының ұзындығы);</w:t>
      </w:r>
      <w:r>
        <w:br/>
      </w:r>
      <w:r>
        <w:rPr>
          <w:rFonts w:ascii="Times New Roman"/>
          <w:b w:val="false"/>
          <w:i w:val="false"/>
          <w:color w:val="000000"/>
          <w:sz w:val="28"/>
        </w:rPr>
        <w:t>
      МС</w:t>
      </w:r>
      <w:r>
        <w:rPr>
          <w:rFonts w:ascii="Times New Roman"/>
          <w:b w:val="false"/>
          <w:i w:val="false"/>
          <w:color w:val="000000"/>
          <w:vertAlign w:val="subscript"/>
        </w:rPr>
        <w:t>х</w:t>
      </w:r>
      <w:r>
        <w:rPr>
          <w:rFonts w:ascii="Times New Roman"/>
          <w:b w:val="false"/>
          <w:i w:val="false"/>
          <w:color w:val="000000"/>
          <w:sz w:val="28"/>
        </w:rPr>
        <w:t xml:space="preserve"> – теріс не оң белгімен алынған сәйкес жас пен жыныстың көші-қон өсімі.</w:t>
      </w:r>
      <w:r>
        <w:br/>
      </w:r>
      <w:r>
        <w:rPr>
          <w:rFonts w:ascii="Times New Roman"/>
          <w:b w:val="false"/>
          <w:i w:val="false"/>
          <w:color w:val="000000"/>
          <w:sz w:val="28"/>
        </w:rPr>
        <w:t>
      10. Аталмыш рәсім болжау кезеңінің әрбір жылына қайталанады және халықтың әрбір жасы, жынысы бойынша саны, жалпы халық саны, өлімнің, туудың, әрі жалпы және табиғи өсім коэффициенттері анықталады.</w:t>
      </w:r>
      <w:r>
        <w:br/>
      </w:r>
      <w:r>
        <w:rPr>
          <w:rFonts w:ascii="Times New Roman"/>
          <w:b w:val="false"/>
          <w:i w:val="false"/>
          <w:color w:val="000000"/>
          <w:sz w:val="28"/>
        </w:rPr>
        <w:t>
</w:t>
      </w:r>
      <w:r>
        <w:rPr>
          <w:rFonts w:ascii="Times New Roman"/>
          <w:b w:val="false"/>
          <w:i w:val="false"/>
          <w:color w:val="000000"/>
          <w:sz w:val="28"/>
        </w:rPr>
        <w:t>
      11. Болжаулық есептеулер біржылдық жас аралықтар және әртүрлі жас топтары (5 жас немесе 10 жас) үшін де жасалады. Екі жағдайда да перспективалы есептеу техникасы бірдей. Екі жыныстағы халық саны және оның жас құрылымы әйелдер мен еркектер санының жай қосындысы арқылы алынады. Бұл ретте туудың, өлімнің және көші-қонның болжамдық параметрлері болжаудың әрбір жылы немесе жыл аралығы үшін өзгеріп отырады.</w:t>
      </w:r>
      <w:r>
        <w:br/>
      </w:r>
      <w:r>
        <w:rPr>
          <w:rFonts w:ascii="Times New Roman"/>
          <w:b w:val="false"/>
          <w:i w:val="false"/>
          <w:color w:val="000000"/>
          <w:sz w:val="28"/>
        </w:rPr>
        <w:t>
</w:t>
      </w:r>
      <w:r>
        <w:rPr>
          <w:rFonts w:ascii="Times New Roman"/>
          <w:b w:val="false"/>
          <w:i w:val="false"/>
          <w:color w:val="000000"/>
          <w:sz w:val="28"/>
        </w:rPr>
        <w:t>
      12. Туылған нәрестелер саны 15–49 жастағы әйелдердің санын туудың болжамды өсуін есепке ала отырып, анықталған туудың сәйкес әр жас коэффициентіне көбейту арқылы анықталады. Көрсетілген жастағы әйелдердің туған балаларының саны, ел өңіріне қарай 100 қыз балаға 105–107 ер бала (105–107:100) қатынасы бойынша анықталады, бұл тиісінше туған ұлдар мен қыздар санын береді. Әрі қарай бұл деректер өлімнің болжанған азаюын ескерумен бір жасқа дейінгі нәрестелердің өлу ықтималдығы бойынша анықталған өлген балалар санына қысқартылады.</w:t>
      </w:r>
      <w:r>
        <w:br/>
      </w:r>
      <w:r>
        <w:rPr>
          <w:rFonts w:ascii="Times New Roman"/>
          <w:b w:val="false"/>
          <w:i w:val="false"/>
          <w:color w:val="000000"/>
          <w:sz w:val="28"/>
        </w:rPr>
        <w:t>
</w:t>
      </w:r>
      <w:r>
        <w:rPr>
          <w:rFonts w:ascii="Times New Roman"/>
          <w:b w:val="false"/>
          <w:i w:val="false"/>
          <w:color w:val="000000"/>
          <w:sz w:val="28"/>
        </w:rPr>
        <w:t>
      13. Болжау нәтижесінде халықтың перспективтік жалпы саны, барлық жыныс-жас топтарындағы халықтың саны және үлесі анықталады.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