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913c" w14:textId="db2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қарашадағы № 639 бұйрығы. Қазақстан Республикасының Әділет министрлігінде 2016 жылғы 9 желтоқсанда № 14498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10506 болып тіркелген, "Егемен Қазақстан" газетінің 2015 жылғы 25 маусымдағы № 118 (28596)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орнының үздік оқытушысы" атағын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"Жоғары оқу орнының үздік оқытушысы" атағын беру қағидаларына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ескертулерде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Тиісті мәліметтер бар болған жағдайда 5, 8, 9, 11.1, 11.3, 11.4, 12.1, 13-тармақтар бойынша көрсеткіштер "Негізгі сипаттамалардың" тиісті бағандарындағы аталған көрсеткіштердің барлық көрсеткіштері бойынша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xml:space="preserve"> және</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10-көрсеткіш бойынша үміткер тиісінше 10.1.1 немесе 10.1.2, 10.2.1 немесе 10.2.2, 10.3.1 немесе 10.3.2-тармақшалары бойынша бар ақпаратты белгілейді. 10-көрсеткіш бойынша іргелі және қолданбалы зерттеулер есептерінің немесе орындаушылардың тізімі, оның ішінде Конкурсқа қатысушының тегі, аты, әкесінің аты (бар болған жағдайда) көрсетілген, ЖОО бірінші басшысының қолы қойылған, әмбепап ондық жіктеу (бұдан әрі - ӘОЖ) және мемлекеттік тіркеу нөмірі бар, ЖОО мөрімен расталған шартты жұмыстардың, жобаны орындауға тапсырыс берушімен шарттың, жеке еңбек шарттарының, мердігерлік шарттардың немесе штаттық кестенің көшірмелері ұсынылады.</w:t>
      </w:r>
      <w:r>
        <w:br/>
      </w:r>
      <w:r>
        <w:rPr>
          <w:rFonts w:ascii="Times New Roman"/>
          <w:b w:val="false"/>
          <w:i w:val="false"/>
          <w:color w:val="000000"/>
          <w:sz w:val="28"/>
        </w:rPr>
        <w:t>
</w:t>
      </w:r>
      <w:r>
        <w:rPr>
          <w:rFonts w:ascii="Times New Roman"/>
          <w:b w:val="false"/>
          <w:i w:val="false"/>
          <w:color w:val="000000"/>
          <w:sz w:val="28"/>
        </w:rPr>
        <w:t xml:space="preserve">
      13. 11-көрсеткіш бойынша үміткер тиісінше 11.1.1, 11.1.2, 11.1.3, 11.1.4, 11.1.5, 11.1.6, 11.3.1, 11.3.2, 11.3.3 және 11.4-тармақшалары бойынша сандық мәліметтерді көрсетеді. 11-тармақтың көрсеткіштері бірлескен авторлары, атауы, баспа түрі, басылым жылы және орны, басылым көлемі көрсетілген тізбе түрінде беріледі, "Негізгі сипаттамалар" бөлігіне орналастырылады. </w:t>
      </w:r>
      <w:r>
        <w:br/>
      </w:r>
      <w:r>
        <w:rPr>
          <w:rFonts w:ascii="Times New Roman"/>
          <w:b w:val="false"/>
          <w:i w:val="false"/>
          <w:color w:val="000000"/>
          <w:sz w:val="28"/>
        </w:rPr>
        <w:t>
</w:t>
      </w:r>
      <w:r>
        <w:rPr>
          <w:rFonts w:ascii="Times New Roman"/>
          <w:b w:val="false"/>
          <w:i w:val="false"/>
          <w:color w:val="000000"/>
          <w:sz w:val="28"/>
        </w:rPr>
        <w:t>
      11.1-тармақшасы бойынша нөлдік емес импакт-факторы бар басылымдардағы жарияланымдардың журналдың атауы, журналдың импакт-факторын, жарияланым жылын, томын және/немесе басылым нөмірін (бар болса), мақаланың атауын, бетінің немесе мақаланың нөмірін (осы параметрлердің бірі міндетті түрде болуы керек, егер журналда бетінің және мақаланың нөмірі қолданылса, оларды біріктірмей, жеке жазу керек) авторлардың аты-жөнін және мекенжайларын, әр жарияланым үшін толық мазмұнын, бетінің/мақаланың нөмірі қайда енетінін (егер журнал жеке мақалаларды жарияламаса) қамтитын көшірмелерін ұсыну. 11.2-тармақша бойынша нұсқалардың біреуін тиісінше белгілейді.";</w:t>
      </w:r>
      <w:r>
        <w:br/>
      </w:r>
      <w:r>
        <w:rPr>
          <w:rFonts w:ascii="Times New Roman"/>
          <w:b w:val="false"/>
          <w:i w:val="false"/>
          <w:color w:val="000000"/>
          <w:sz w:val="28"/>
        </w:rPr>
        <w:t>
</w:t>
      </w:r>
      <w:r>
        <w:rPr>
          <w:rFonts w:ascii="Times New Roman"/>
          <w:b w:val="false"/>
          <w:i w:val="false"/>
          <w:color w:val="000000"/>
          <w:sz w:val="28"/>
        </w:rPr>
        <w:t>
      көрсетілген "Жоғары оқу орнының үздік оқытушысы" атағын беру қағидаларына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6755"/>
        <w:gridCol w:w="328"/>
        <w:gridCol w:w="328"/>
        <w:gridCol w:w="328"/>
        <w:gridCol w:w="329"/>
        <w:gridCol w:w="1497"/>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алушыларды адамагершілік-отансүйгіштік және дене тәрбиесі тұрғысынан қамтамасыз ететін кешенді іс-шараларды іске асыру</w:t>
            </w: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департаменті (Д. Ахмед-Заки)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басылымдарына және Қазақстан Республикасы нормативтік құқықтық актілерінің "Әділет" ақпараттық-құқықтық жүйесінде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он күнтізбелік күн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қосу үшін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бұйрықтың 2-тармағы 1), 2), 3) және 4)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Білім және ғылым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Сағадиев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