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d6bc8" w14:textId="ced6b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Қаржылық делдалдық қызметтерінің шығарылымын есепке алу әдістемесін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министрлігінің Статистика комитеті төрағасының 2016 жылғы 23 қыркүйектегі № 217 бұйрығы. Қазақстан Республикасының Әділет министрлігінде 2016 жылғы 25 қазанда № 14362 болып тіркелді</w:t>
      </w:r>
    </w:p>
    <w:p>
      <w:pPr>
        <w:spacing w:after="0"/>
        <w:ind w:left="0"/>
        <w:jc w:val="both"/>
      </w:pPr>
      <w:bookmarkStart w:name="z1" w:id="0"/>
      <w:r>
        <w:rPr>
          <w:rFonts w:ascii="Times New Roman"/>
          <w:b w:val="false"/>
          <w:i w:val="false"/>
          <w:color w:val="000000"/>
          <w:sz w:val="28"/>
        </w:rPr>
        <w:t>
      «Мемлекеттік статистика туралы» Қазақстан Республикасының 2010 жылғы 19 наурыздағы Заңының </w:t>
      </w:r>
      <w:r>
        <w:rPr>
          <w:rFonts w:ascii="Times New Roman"/>
          <w:b w:val="false"/>
          <w:i w:val="false"/>
          <w:color w:val="000000"/>
          <w:sz w:val="28"/>
        </w:rPr>
        <w:t>12-бабының</w:t>
      </w:r>
      <w:r>
        <w:rPr>
          <w:rFonts w:ascii="Times New Roman"/>
          <w:b w:val="false"/>
          <w:i w:val="false"/>
          <w:color w:val="000000"/>
          <w:sz w:val="28"/>
        </w:rPr>
        <w:t xml:space="preserve"> 5) тармақшасына, сондай-ақ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w:t>
      </w:r>
      <w:r>
        <w:rPr>
          <w:rFonts w:ascii="Times New Roman"/>
          <w:b w:val="false"/>
          <w:i w:val="false"/>
          <w:color w:val="000000"/>
          <w:sz w:val="28"/>
        </w:rPr>
        <w:t>17-тармағының</w:t>
      </w:r>
      <w:r>
        <w:rPr>
          <w:rFonts w:ascii="Times New Roman"/>
          <w:b w:val="false"/>
          <w:i w:val="false"/>
          <w:color w:val="000000"/>
          <w:sz w:val="28"/>
        </w:rPr>
        <w:t xml:space="preserve"> 258)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Қаржылық делдалдық қызметтерінің шығарылымын есепке алу </w:t>
      </w:r>
      <w:r>
        <w:rPr>
          <w:rFonts w:ascii="Times New Roman"/>
          <w:b w:val="false"/>
          <w:i w:val="false"/>
          <w:color w:val="000000"/>
          <w:sz w:val="28"/>
        </w:rPr>
        <w:t>әдістемеcі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 Статистика комитетінің Ұлттық шоттар басқармасы Заң басқармасымен бірлесіп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жариялануға жіберілуін;</w:t>
      </w:r>
      <w:r>
        <w:br/>
      </w:r>
      <w:r>
        <w:rPr>
          <w:rFonts w:ascii="Times New Roman"/>
          <w:b w:val="false"/>
          <w:i w:val="false"/>
          <w:color w:val="000000"/>
          <w:sz w:val="28"/>
        </w:rPr>
        <w:t>
</w:t>
      </w:r>
      <w:r>
        <w:rPr>
          <w:rFonts w:ascii="Times New Roman"/>
          <w:b w:val="false"/>
          <w:i w:val="false"/>
          <w:color w:val="000000"/>
          <w:sz w:val="28"/>
        </w:rPr>
        <w:t>
      3) тіркелген бұйрықты алған күннен бастап күнтізбелік он күні ішінде баспа және электрондық түрде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r>
        <w:br/>
      </w:r>
      <w:r>
        <w:rPr>
          <w:rFonts w:ascii="Times New Roman"/>
          <w:b w:val="false"/>
          <w:i w:val="false"/>
          <w:color w:val="000000"/>
          <w:sz w:val="28"/>
        </w:rPr>
        <w:t>
</w:t>
      </w: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экономика министрлігі Статистика комитетінің Ұлттық шоттар басқармасы осы бұйрықты жұмыс бабында басшылыққа алу және пайдалану үшін Қазақстан Республикасы Ұлттық экономика министрлігі Статистика комитетінің құрылымдық бөлімшелеріне және аумақтық органдарына жеткізсін.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жетекшілік ететін Қазақстан Республикасы Ұлттық экономика министрлігі Статистика комитеті төрағасының орынбасарына (Қ.К. Орынханов)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Ұлттық экономика министрлігі</w:t>
      </w:r>
      <w:r>
        <w:br/>
      </w:r>
      <w:r>
        <w:rPr>
          <w:rFonts w:ascii="Times New Roman"/>
          <w:b w:val="false"/>
          <w:i w:val="false"/>
          <w:color w:val="000000"/>
          <w:sz w:val="28"/>
        </w:rPr>
        <w:t>
</w:t>
      </w:r>
      <w:r>
        <w:rPr>
          <w:rFonts w:ascii="Times New Roman"/>
          <w:b w:val="false"/>
          <w:i/>
          <w:color w:val="000000"/>
          <w:sz w:val="28"/>
        </w:rPr>
        <w:t>      Статистика комитетінің төрағасы            Н. Айдапкелов</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министрлігі </w:t>
      </w:r>
      <w:r>
        <w:br/>
      </w:r>
      <w:r>
        <w:rPr>
          <w:rFonts w:ascii="Times New Roman"/>
          <w:b w:val="false"/>
          <w:i w:val="false"/>
          <w:color w:val="000000"/>
          <w:sz w:val="28"/>
        </w:rPr>
        <w:t xml:space="preserve">
Статистика комитеті төрағасының </w:t>
      </w:r>
      <w:r>
        <w:br/>
      </w:r>
      <w:r>
        <w:rPr>
          <w:rFonts w:ascii="Times New Roman"/>
          <w:b w:val="false"/>
          <w:i w:val="false"/>
          <w:color w:val="000000"/>
          <w:sz w:val="28"/>
        </w:rPr>
        <w:t xml:space="preserve">
2016 жылғы 23 қыркүйектегі    </w:t>
      </w:r>
      <w:r>
        <w:br/>
      </w:r>
      <w:r>
        <w:rPr>
          <w:rFonts w:ascii="Times New Roman"/>
          <w:b w:val="false"/>
          <w:i w:val="false"/>
          <w:color w:val="000000"/>
          <w:sz w:val="28"/>
        </w:rPr>
        <w:t xml:space="preserve">
№ 217 бұйрығымен        </w:t>
      </w:r>
      <w:r>
        <w:br/>
      </w:r>
      <w:r>
        <w:rPr>
          <w:rFonts w:ascii="Times New Roman"/>
          <w:b w:val="false"/>
          <w:i w:val="false"/>
          <w:color w:val="000000"/>
          <w:sz w:val="28"/>
        </w:rPr>
        <w:t xml:space="preserve">
бекітілді           </w:t>
      </w:r>
    </w:p>
    <w:bookmarkEnd w:id="1"/>
    <w:bookmarkStart w:name="z12" w:id="2"/>
    <w:p>
      <w:pPr>
        <w:spacing w:after="0"/>
        <w:ind w:left="0"/>
        <w:jc w:val="left"/>
      </w:pPr>
      <w:r>
        <w:rPr>
          <w:rFonts w:ascii="Times New Roman"/>
          <w:b/>
          <w:i w:val="false"/>
          <w:color w:val="000000"/>
        </w:rPr>
        <w:t xml:space="preserve"> 
Қаржылық делдалдық қызметтерінің шығарылымын есепке алу әдістемесі</w:t>
      </w:r>
    </w:p>
    <w:bookmarkEnd w:id="2"/>
    <w:bookmarkStart w:name="z13" w:id="3"/>
    <w:p>
      <w:pPr>
        <w:spacing w:after="0"/>
        <w:ind w:left="0"/>
        <w:jc w:val="left"/>
      </w:pPr>
      <w:r>
        <w:rPr>
          <w:rFonts w:ascii="Times New Roman"/>
          <w:b/>
          <w:i w:val="false"/>
          <w:color w:val="000000"/>
        </w:rPr>
        <w:t xml:space="preserve"> 
1-тарау. Жалпы ережелер</w:t>
      </w:r>
    </w:p>
    <w:bookmarkEnd w:id="3"/>
    <w:bookmarkStart w:name="z14" w:id="4"/>
    <w:p>
      <w:pPr>
        <w:spacing w:after="0"/>
        <w:ind w:left="0"/>
        <w:jc w:val="both"/>
      </w:pPr>
      <w:r>
        <w:rPr>
          <w:rFonts w:ascii="Times New Roman"/>
          <w:b w:val="false"/>
          <w:i w:val="false"/>
          <w:color w:val="000000"/>
          <w:sz w:val="28"/>
        </w:rPr>
        <w:t>
      1. Қаржылық делдалдық қызметтерінің шығарылымын есепке алу әдістемесі (бұдан әрі - Әдістеме) халықаралық стандарттарға сәйкес қалыптастырылатын және «Мемлекеттік статистика туралы» Қазақстан Республикасының 2010 жылғы 19 наурыздағы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бекітілетін статистикалық әдіснамаға жатады.</w:t>
      </w:r>
      <w:r>
        <w:br/>
      </w:r>
      <w:r>
        <w:rPr>
          <w:rFonts w:ascii="Times New Roman"/>
          <w:b w:val="false"/>
          <w:i w:val="false"/>
          <w:color w:val="000000"/>
          <w:sz w:val="28"/>
        </w:rPr>
        <w:t>
</w:t>
      </w:r>
      <w:r>
        <w:rPr>
          <w:rFonts w:ascii="Times New Roman"/>
          <w:b w:val="false"/>
          <w:i w:val="false"/>
          <w:color w:val="000000"/>
          <w:sz w:val="28"/>
        </w:rPr>
        <w:t>
      2. Осы Әдістеме халықаралық стандарттарға сәйкес қаржылық делдалдық қызметтерінің шығарылымын есепке алу үшін Қазақстан Республикасы Ұлттық экономика министрлігі Статистика комитетінің (бұдан әрі - Комитет) пайдалануына арналған және Ұлттық шоттар жүйесінің мақсаттары үшін ғана қолданылады.</w:t>
      </w:r>
      <w:r>
        <w:br/>
      </w:r>
      <w:r>
        <w:rPr>
          <w:rFonts w:ascii="Times New Roman"/>
          <w:b w:val="false"/>
          <w:i w:val="false"/>
          <w:color w:val="000000"/>
          <w:sz w:val="28"/>
        </w:rPr>
        <w:t>
</w:t>
      </w:r>
      <w:r>
        <w:rPr>
          <w:rFonts w:ascii="Times New Roman"/>
          <w:b w:val="false"/>
          <w:i w:val="false"/>
          <w:color w:val="000000"/>
          <w:sz w:val="28"/>
        </w:rPr>
        <w:t>
      3. Осы Әдістеменің мақсаты институционалдық секторлардың өндіріс, табыстарды пайдалану шоттарын және «ресурстар-пайдалану» мен «шығындар-шығарылым» кестелерін құру үшін пайдаланылатын қаржылық делдалдықтың жанама түрде өлшенетін қызметтерінің (бұдан әрі – ҚДЖӨҚ) шығарылымы мен пайдаланылу көрсеткіштерінің есептеулерін жетілдіру болып табылады. Осы Әдістемені қолдану қаржылық секторда құрылатын қосылған құнды бағалаудың сенімділігін арттыруға және экономика салаларында пайдалануға жәрдемдеседі.</w:t>
      </w:r>
      <w:r>
        <w:br/>
      </w:r>
      <w:r>
        <w:rPr>
          <w:rFonts w:ascii="Times New Roman"/>
          <w:b w:val="false"/>
          <w:i w:val="false"/>
          <w:color w:val="000000"/>
          <w:sz w:val="28"/>
        </w:rPr>
        <w:t>
</w:t>
      </w:r>
      <w:r>
        <w:rPr>
          <w:rFonts w:ascii="Times New Roman"/>
          <w:b w:val="false"/>
          <w:i w:val="false"/>
          <w:color w:val="000000"/>
          <w:sz w:val="28"/>
        </w:rPr>
        <w:t>
      4. Осы Әдістемеде келесі анықтамалар пайдаланылады:</w:t>
      </w:r>
      <w:r>
        <w:br/>
      </w:r>
      <w:r>
        <w:rPr>
          <w:rFonts w:ascii="Times New Roman"/>
          <w:b w:val="false"/>
          <w:i w:val="false"/>
          <w:color w:val="000000"/>
          <w:sz w:val="28"/>
        </w:rPr>
        <w:t>
</w:t>
      </w:r>
      <w:r>
        <w:rPr>
          <w:rFonts w:ascii="Times New Roman"/>
          <w:b w:val="false"/>
          <w:i w:val="false"/>
          <w:color w:val="000000"/>
          <w:sz w:val="28"/>
        </w:rPr>
        <w:t>
      1) депозиттер – банкке немесе басқа да депозиттік мекемеге сақтауға берілген, бірақ мерзімінің және белгілі бір шарттардың келуімен депозиттік келісімшартта белгіленген пайыздық мөлшерлемені төлеумен қайтаруға жататын ақшалай қаражат. Аударымдық және өзге де депозиттердің түрлері бар.</w:t>
      </w:r>
      <w:r>
        <w:br/>
      </w:r>
      <w:r>
        <w:rPr>
          <w:rFonts w:ascii="Times New Roman"/>
          <w:b w:val="false"/>
          <w:i w:val="false"/>
          <w:color w:val="000000"/>
          <w:sz w:val="28"/>
        </w:rPr>
        <w:t>
</w:t>
      </w:r>
      <w:r>
        <w:rPr>
          <w:rFonts w:ascii="Times New Roman"/>
          <w:b w:val="false"/>
          <w:i w:val="false"/>
          <w:color w:val="000000"/>
          <w:sz w:val="28"/>
        </w:rPr>
        <w:t>
      2) кредиттер (несиелер) – кредиторлар ақшалай қаражатты тікелей қарыз алушыларға ұсынған кезде пайда болатын қаржы құралдары, бұл беруге жатпайтын құжаттармен расталады.</w:t>
      </w:r>
      <w:r>
        <w:br/>
      </w:r>
      <w:r>
        <w:rPr>
          <w:rFonts w:ascii="Times New Roman"/>
          <w:b w:val="false"/>
          <w:i w:val="false"/>
          <w:color w:val="000000"/>
          <w:sz w:val="28"/>
        </w:rPr>
        <w:t>
</w:t>
      </w:r>
      <w:r>
        <w:rPr>
          <w:rFonts w:ascii="Times New Roman"/>
          <w:b w:val="false"/>
          <w:i w:val="false"/>
          <w:color w:val="000000"/>
          <w:sz w:val="28"/>
        </w:rPr>
        <w:t>
      3) қаржылық делдалдық – дебиторлардың қажеттіліктері мен кредиторлардың талаптарын сәйкестікке келтіру бойынша қызмет. Ол клиенттер оған сәйкес қарызға алатын және кредиттей алатын шарттардың баламалы жиынтығын ұсынатын қаржылық мекемелермен жүзеге асырылады.</w:t>
      </w:r>
    </w:p>
    <w:bookmarkEnd w:id="4"/>
    <w:bookmarkStart w:name="z21" w:id="5"/>
    <w:p>
      <w:pPr>
        <w:spacing w:after="0"/>
        <w:ind w:left="0"/>
        <w:jc w:val="left"/>
      </w:pPr>
      <w:r>
        <w:rPr>
          <w:rFonts w:ascii="Times New Roman"/>
          <w:b/>
          <w:i w:val="false"/>
          <w:color w:val="000000"/>
        </w:rPr>
        <w:t xml:space="preserve"> 
2-тарау. 2008 жылғы ҰШЖ сәйкес ҚДЖӨҚ шығарылымын есептеу тәртібі</w:t>
      </w:r>
    </w:p>
    <w:bookmarkEnd w:id="5"/>
    <w:bookmarkStart w:name="z22" w:id="6"/>
    <w:p>
      <w:pPr>
        <w:spacing w:after="0"/>
        <w:ind w:left="0"/>
        <w:jc w:val="both"/>
      </w:pPr>
      <w:r>
        <w:rPr>
          <w:rFonts w:ascii="Times New Roman"/>
          <w:b w:val="false"/>
          <w:i w:val="false"/>
          <w:color w:val="000000"/>
          <w:sz w:val="28"/>
        </w:rPr>
        <w:t>
      5. Банктер мен басқа да қаржылық мекемелердің делдалдық қызметі жинақтары бар және оларды инвестицияларды қаржыландыру үшін ресурстарды пайдаланатын институционалдық бірліктерге, қаржылық емес корпорацияларға қайтарымды негізде уақытша пайдалануға беретін әртүрлі институционалдық бірліктердің (үй шаруашылықтары мен кәсіпорындардың) бос қаржы ресурстарын тарту және шоғырландырудан тұрады. Банктер және басқа да қаржылық мекемелер жинақтайтын институционалдық бірліктер мен инвестициялайтын институционалдық бірліктер арасындағы делдал ретінде жүреді. Қаржылық мекемелердің делдалдық қызметі ресурстарды бір институционалдық бірліктерден өзгелерге беруге байланысты шығындарға ұшырайды, және өзіне белгілі тәуекелді жүктейді, қаржылық міндеттемелерді өзіне қабылдайды.</w:t>
      </w:r>
      <w:r>
        <w:br/>
      </w:r>
      <w:r>
        <w:rPr>
          <w:rFonts w:ascii="Times New Roman"/>
          <w:b w:val="false"/>
          <w:i w:val="false"/>
          <w:color w:val="000000"/>
          <w:sz w:val="28"/>
        </w:rPr>
        <w:t>
</w:t>
      </w:r>
      <w:r>
        <w:rPr>
          <w:rFonts w:ascii="Times New Roman"/>
          <w:b w:val="false"/>
          <w:i w:val="false"/>
          <w:color w:val="000000"/>
          <w:sz w:val="28"/>
        </w:rPr>
        <w:t>
      6. Несиелер қаржылық мекемелермен берілген және депозиттер қаржылық мекемелерде орналастырылған кезде ҚДЖӨҚ шығарылымы несиелермен және депозиттермен операцияларға қатысты анықталады. ҚДЖӨҚ шығарылымын есептеу кезінде есепке құнды қағаздармен операциялар нәтижесінде пайда болатын меншіктен түскен табыстарды есептеулерге қосылмайды, өйткені құнды қағаздармен жасалатын операциялар делдалдық болып табылмайды. Қаржылық мекемелер құнды қағаздарды нарықта сатып алғанда немесе сатқанда олар бұл қағаздардың бағасына әсер етпейді.</w:t>
      </w:r>
      <w:r>
        <w:br/>
      </w:r>
      <w:r>
        <w:rPr>
          <w:rFonts w:ascii="Times New Roman"/>
          <w:b w:val="false"/>
          <w:i w:val="false"/>
          <w:color w:val="000000"/>
          <w:sz w:val="28"/>
        </w:rPr>
        <w:t>
</w:t>
      </w:r>
      <w:r>
        <w:rPr>
          <w:rFonts w:ascii="Times New Roman"/>
          <w:b w:val="false"/>
          <w:i w:val="false"/>
          <w:color w:val="000000"/>
          <w:sz w:val="28"/>
        </w:rPr>
        <w:t>
      7. Банкаралық айқындамалар сәйкестендіріледі және құралдардың жеке санаты ретінде көрсетіледі. Бұл банкаралық несиелер мен депозиттердің өзге несиелер мен депозиттерден ажырату мүмкіндігін қарастыру себептерінің бірі. Екінші себеп қаржылық делдалдықтың жанама түрде өлшенетін қызметтерінің төлемін есептеумен байланысты. ҚДЖӨҚ есептеу үшін банктердің банктік емес клиенттерінің несилері мен депозиттері қалдықтарының шамалары пайдаланылады және банктер алатын немесе төлейтін пайыздар мен дәл сол несилер мен депозиттер қалдықтарына пайыздың базистік мөлшерлемесін қолдану жолымен есептелген пайыздар арасындағы айырмашылық есептеледі. Банктер арасындағы қатынастарда ҚДЖӨҚ төленеді немесе төленбейді, банктер бір-бірінен қарыз алады немесе бір-біріне тәуекел факторын қоспайтын мөлшерлеме бойынша қаражат ұсынады. Бұл себептер бойынша банкаралық несиелер мен депозиттер өзге несиелер мен депозиттерден ажыратылады (ҰШЖ 2008, 11.56-тармақ).</w:t>
      </w:r>
      <w:r>
        <w:br/>
      </w:r>
      <w:r>
        <w:rPr>
          <w:rFonts w:ascii="Times New Roman"/>
          <w:b w:val="false"/>
          <w:i w:val="false"/>
          <w:color w:val="000000"/>
          <w:sz w:val="28"/>
        </w:rPr>
        <w:t>
</w:t>
      </w:r>
      <w:r>
        <w:rPr>
          <w:rFonts w:ascii="Times New Roman"/>
          <w:b w:val="false"/>
          <w:i w:val="false"/>
          <w:color w:val="000000"/>
          <w:sz w:val="28"/>
        </w:rPr>
        <w:t>
      8. Пайыздың базистік мөлшерлемесінің есептелуі осы Әдістемеге </w:t>
      </w:r>
      <w:r>
        <w:rPr>
          <w:rFonts w:ascii="Times New Roman"/>
          <w:b w:val="false"/>
          <w:i w:val="false"/>
          <w:color w:val="000000"/>
          <w:sz w:val="28"/>
        </w:rPr>
        <w:t>1-қосымшада</w:t>
      </w:r>
      <w:r>
        <w:rPr>
          <w:rFonts w:ascii="Times New Roman"/>
          <w:b w:val="false"/>
          <w:i w:val="false"/>
          <w:color w:val="000000"/>
          <w:sz w:val="28"/>
        </w:rPr>
        <w:t xml:space="preserve"> келтірілген. ҚДЖӨҚ шығарылымын есептеу кезінде базистік мөлшерлеме ретінде банкаралық пайыздық мөлшерлеме пайдаланылады. Банкаралық пайыздық мөлшерлемені есептеу үшін жеткілікті бастапқы ақпарат жоқ. Бұл Әдістемеде базистік мөлшерлемені баламалы есептеу – несиелерге және депозиттерге пайыздың мөлшерлемелері арасындағы орташа мәнді пайдалану сипатталған.</w:t>
      </w:r>
      <w:r>
        <w:br/>
      </w:r>
      <w:r>
        <w:rPr>
          <w:rFonts w:ascii="Times New Roman"/>
          <w:b w:val="false"/>
          <w:i w:val="false"/>
          <w:color w:val="000000"/>
          <w:sz w:val="28"/>
        </w:rPr>
        <w:t>
</w:t>
      </w:r>
      <w:r>
        <w:rPr>
          <w:rFonts w:ascii="Times New Roman"/>
          <w:b w:val="false"/>
          <w:i w:val="false"/>
          <w:color w:val="000000"/>
          <w:sz w:val="28"/>
        </w:rPr>
        <w:t>
      9. Базистік мөлшерлемені есептеу үшін Қазақстан Республикасы Ұлттық Банкінің ресми интернет-ресурсына орналастырылған деректері:</w:t>
      </w:r>
      <w:r>
        <w:br/>
      </w:r>
      <w:r>
        <w:rPr>
          <w:rFonts w:ascii="Times New Roman"/>
          <w:b w:val="false"/>
          <w:i w:val="false"/>
          <w:color w:val="000000"/>
          <w:sz w:val="28"/>
        </w:rPr>
        <w:t>
</w:t>
      </w:r>
      <w:r>
        <w:rPr>
          <w:rFonts w:ascii="Times New Roman"/>
          <w:b w:val="false"/>
          <w:i w:val="false"/>
          <w:color w:val="000000"/>
          <w:sz w:val="28"/>
        </w:rPr>
        <w:t>
      1) несиелер мен депозиттердің қалдықтары жөніндегі деректер;</w:t>
      </w:r>
      <w:r>
        <w:br/>
      </w:r>
      <w:r>
        <w:rPr>
          <w:rFonts w:ascii="Times New Roman"/>
          <w:b w:val="false"/>
          <w:i w:val="false"/>
          <w:color w:val="000000"/>
          <w:sz w:val="28"/>
        </w:rPr>
        <w:t>
</w:t>
      </w:r>
      <w:r>
        <w:rPr>
          <w:rFonts w:ascii="Times New Roman"/>
          <w:b w:val="false"/>
          <w:i w:val="false"/>
          <w:color w:val="000000"/>
          <w:sz w:val="28"/>
        </w:rPr>
        <w:t>
      2) алынған және төленген пайыздар жөніндегі деректер пайдаланылады.</w:t>
      </w:r>
      <w:r>
        <w:br/>
      </w:r>
      <w:r>
        <w:rPr>
          <w:rFonts w:ascii="Times New Roman"/>
          <w:b w:val="false"/>
          <w:i w:val="false"/>
          <w:color w:val="000000"/>
          <w:sz w:val="28"/>
        </w:rPr>
        <w:t>
</w:t>
      </w:r>
      <w:r>
        <w:rPr>
          <w:rFonts w:ascii="Times New Roman"/>
          <w:b w:val="false"/>
          <w:i w:val="false"/>
          <w:color w:val="000000"/>
          <w:sz w:val="28"/>
        </w:rPr>
        <w:t>
      10. Есептеулерде несиелер мен депозиттердің қорлары бойынша кезең соңындағы деректер пайдаланылған. Несиелер мен депозиттердің кезеңдегі орташа қалдықтары сәйкесінше ағымдағы айғы несиелер мен депозиттердің өткен аймен арифметикалық орташа ретінде есептелген.</w:t>
      </w:r>
      <w:r>
        <w:br/>
      </w:r>
      <w:r>
        <w:rPr>
          <w:rFonts w:ascii="Times New Roman"/>
          <w:b w:val="false"/>
          <w:i w:val="false"/>
          <w:color w:val="000000"/>
          <w:sz w:val="28"/>
        </w:rPr>
        <w:t>
      11. Несиелер мен депозиттер бойынша пайыздардың мөлшерлемелері алынған және төленген пайыздардың тиісінше орташа алғанда кезеңдегі несиелер мен депозиттердің қалдықтарына қатынасымен есептеледі. Несиелер мен депозиттер бойынша пайыздың мөлшерлемесін есептеу формуласы:</w:t>
      </w:r>
    </w:p>
    <w:bookmarkEnd w:id="6"/>
    <w:p>
      <w:pPr>
        <w:spacing w:after="0"/>
        <w:ind w:left="0"/>
        <w:jc w:val="both"/>
      </w:pPr>
      <w:r>
        <w:rPr>
          <w:rFonts w:ascii="Times New Roman"/>
          <w:b w:val="false"/>
          <w:i w:val="false"/>
          <w:color w:val="000000"/>
          <w:sz w:val="28"/>
        </w:rPr>
        <w:t>                     </w:t>
      </w:r>
      <w:r>
        <w:drawing>
          <wp:inline distT="0" distB="0" distL="0" distR="0">
            <wp:extent cx="2425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25700" cy="584200"/>
                    </a:xfrm>
                    <a:prstGeom prst="rect">
                      <a:avLst/>
                    </a:prstGeom>
                  </pic:spPr>
                </pic:pic>
              </a:graphicData>
            </a:graphic>
          </wp:inline>
        </w:drawing>
      </w:r>
    </w:p>
    <w:bookmarkStart w:name="z30" w:id="7"/>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w:t>
      </w: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41300" cy="279400"/>
                    </a:xfrm>
                    <a:prstGeom prst="rect">
                      <a:avLst/>
                    </a:prstGeom>
                  </pic:spPr>
                </pic:pic>
              </a:graphicData>
            </a:graphic>
          </wp:inline>
        </w:drawing>
      </w: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41300" cy="279400"/>
                    </a:xfrm>
                    <a:prstGeom prst="rect">
                      <a:avLst/>
                    </a:prstGeom>
                  </pic:spPr>
                </pic:pic>
              </a:graphicData>
            </a:graphic>
          </wp:inline>
        </w:drawing>
      </w:r>
      <w:r>
        <w:rPr>
          <w:rFonts w:ascii="Times New Roman"/>
          <w:b w:val="false"/>
          <w:i w:val="false"/>
          <w:color w:val="000000"/>
          <w:sz w:val="28"/>
        </w:rPr>
        <w:t>– несиелер бойынша пайыздың мөлшерлемесі;</w:t>
      </w:r>
      <w:r>
        <w:br/>
      </w:r>
      <w:r>
        <w:rPr>
          <w:rFonts w:ascii="Times New Roman"/>
          <w:b w:val="false"/>
          <w:i w:val="false"/>
          <w:color w:val="000000"/>
          <w:sz w:val="28"/>
        </w:rPr>
        <w:t>
      </w:t>
      </w: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79400" cy="279400"/>
                    </a:xfrm>
                    <a:prstGeom prst="rect">
                      <a:avLst/>
                    </a:prstGeom>
                  </pic:spPr>
                </pic:pic>
              </a:graphicData>
            </a:graphic>
          </wp:inline>
        </w:drawing>
      </w: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79400" cy="279400"/>
                    </a:xfrm>
                    <a:prstGeom prst="rect">
                      <a:avLst/>
                    </a:prstGeom>
                  </pic:spPr>
                </pic:pic>
              </a:graphicData>
            </a:graphic>
          </wp:inline>
        </w:drawing>
      </w:r>
      <w:r>
        <w:rPr>
          <w:rFonts w:ascii="Times New Roman"/>
          <w:b w:val="false"/>
          <w:i w:val="false"/>
          <w:color w:val="000000"/>
          <w:sz w:val="28"/>
        </w:rPr>
        <w:t>– депозиттер бойынша пайыздың мөлшерлемесі;</w:t>
      </w:r>
      <w:r>
        <w:br/>
      </w:r>
      <w:r>
        <w:rPr>
          <w:rFonts w:ascii="Times New Roman"/>
          <w:b w:val="false"/>
          <w:i w:val="false"/>
          <w:color w:val="000000"/>
          <w:sz w:val="28"/>
        </w:rPr>
        <w:t>
      </w:t>
      </w:r>
      <w:r>
        <w:drawing>
          <wp:inline distT="0" distB="0" distL="0" distR="0">
            <wp:extent cx="152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279400"/>
                    </a:xfrm>
                    <a:prstGeom prst="rect">
                      <a:avLst/>
                    </a:prstGeom>
                  </pic:spPr>
                </pic:pic>
              </a:graphicData>
            </a:graphic>
          </wp:inline>
        </w:drawing>
      </w:r>
      <w:r>
        <w:drawing>
          <wp:inline distT="0" distB="0" distL="0" distR="0">
            <wp:extent cx="152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 cy="279400"/>
                    </a:xfrm>
                    <a:prstGeom prst="rect">
                      <a:avLst/>
                    </a:prstGeom>
                  </pic:spPr>
                </pic:pic>
              </a:graphicData>
            </a:graphic>
          </wp:inline>
        </w:drawing>
      </w:r>
      <w:r>
        <w:rPr>
          <w:rFonts w:ascii="Times New Roman"/>
          <w:b w:val="false"/>
          <w:i w:val="false"/>
          <w:color w:val="000000"/>
          <w:sz w:val="28"/>
        </w:rPr>
        <w:t>– несиелер бойынша пайыздар;</w:t>
      </w:r>
      <w:r>
        <w:br/>
      </w:r>
      <w:r>
        <w:rPr>
          <w:rFonts w:ascii="Times New Roman"/>
          <w:b w:val="false"/>
          <w:i w:val="false"/>
          <w:color w:val="000000"/>
          <w:sz w:val="28"/>
        </w:rPr>
        <w:t>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03200" cy="279400"/>
                    </a:xfrm>
                    <a:prstGeom prst="rect">
                      <a:avLst/>
                    </a:prstGeom>
                  </pic:spPr>
                </pic:pic>
              </a:graphicData>
            </a:graphic>
          </wp:inline>
        </w:drawing>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 депозиттер бойынша пайыздар;</w:t>
      </w:r>
      <w:r>
        <w:br/>
      </w:r>
      <w:r>
        <w:rPr>
          <w:rFonts w:ascii="Times New Roman"/>
          <w:b w:val="false"/>
          <w:i w:val="false"/>
          <w:color w:val="000000"/>
          <w:sz w:val="28"/>
        </w:rPr>
        <w:t>
      </w:t>
      </w: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66700" cy="279400"/>
                    </a:xfrm>
                    <a:prstGeom prst="rect">
                      <a:avLst/>
                    </a:prstGeom>
                  </pic:spPr>
                </pic:pic>
              </a:graphicData>
            </a:graphic>
          </wp:inline>
        </w:drawing>
      </w: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66700" cy="279400"/>
                    </a:xfrm>
                    <a:prstGeom prst="rect">
                      <a:avLst/>
                    </a:prstGeom>
                  </pic:spPr>
                </pic:pic>
              </a:graphicData>
            </a:graphic>
          </wp:inline>
        </w:drawing>
      </w:r>
      <w:r>
        <w:rPr>
          <w:rFonts w:ascii="Times New Roman"/>
          <w:b w:val="false"/>
          <w:i w:val="false"/>
          <w:color w:val="000000"/>
          <w:sz w:val="28"/>
        </w:rPr>
        <w:t>– орташа алғанда есептік кезеңдегі несиелердің қалдықтары;</w:t>
      </w:r>
      <w:r>
        <w:br/>
      </w:r>
      <w:r>
        <w:rPr>
          <w:rFonts w:ascii="Times New Roman"/>
          <w:b w:val="false"/>
          <w:i w:val="false"/>
          <w:color w:val="000000"/>
          <w:sz w:val="28"/>
        </w:rPr>
        <w:t>
      </w:t>
      </w: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4800" cy="279400"/>
                    </a:xfrm>
                    <a:prstGeom prst="rect">
                      <a:avLst/>
                    </a:prstGeom>
                  </pic:spPr>
                </pic:pic>
              </a:graphicData>
            </a:graphic>
          </wp:inline>
        </w:drawing>
      </w: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04800" cy="279400"/>
                    </a:xfrm>
                    <a:prstGeom prst="rect">
                      <a:avLst/>
                    </a:prstGeom>
                  </pic:spPr>
                </pic:pic>
              </a:graphicData>
            </a:graphic>
          </wp:inline>
        </w:drawing>
      </w:r>
      <w:r>
        <w:rPr>
          <w:rFonts w:ascii="Times New Roman"/>
          <w:b w:val="false"/>
          <w:i w:val="false"/>
          <w:color w:val="000000"/>
          <w:sz w:val="28"/>
        </w:rPr>
        <w:t>– есептік кезеңдегі депозиттердің орташа қалдықтары;</w:t>
      </w:r>
      <w:r>
        <w:br/>
      </w:r>
      <w:r>
        <w:rPr>
          <w:rFonts w:ascii="Times New Roman"/>
          <w:b w:val="false"/>
          <w:i w:val="false"/>
          <w:color w:val="000000"/>
          <w:sz w:val="28"/>
        </w:rPr>
        <w:t>
      12. Базистік мөлшерлеме келесі формула бойынша есептеледі:</w:t>
      </w:r>
    </w:p>
    <w:bookmarkEnd w:id="7"/>
    <w:p>
      <w:pPr>
        <w:spacing w:after="0"/>
        <w:ind w:left="0"/>
        <w:jc w:val="both"/>
      </w:pPr>
      <w:r>
        <w:rPr>
          <w:rFonts w:ascii="Times New Roman"/>
          <w:b w:val="false"/>
          <w:i w:val="false"/>
          <w:color w:val="000000"/>
          <w:sz w:val="28"/>
        </w:rPr>
        <w:t>                    </w:t>
      </w:r>
      <w:r>
        <w:drawing>
          <wp:inline distT="0" distB="0" distL="0" distR="0">
            <wp:extent cx="24892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489200" cy="533400"/>
                    </a:xfrm>
                    <a:prstGeom prst="rect">
                      <a:avLst/>
                    </a:prstGeom>
                  </pic:spPr>
                </pic:pic>
              </a:graphicData>
            </a:graphic>
          </wp:inline>
        </w:drawing>
      </w:r>
    </w:p>
    <w:bookmarkStart w:name="z53" w:id="8"/>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w:t>
      </w: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28600" cy="279400"/>
                    </a:xfrm>
                    <a:prstGeom prst="rect">
                      <a:avLst/>
                    </a:prstGeom>
                  </pic:spPr>
                </pic:pic>
              </a:graphicData>
            </a:graphic>
          </wp:inline>
        </w:drawing>
      </w: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28600" cy="279400"/>
                    </a:xfrm>
                    <a:prstGeom prst="rect">
                      <a:avLst/>
                    </a:prstGeom>
                  </pic:spPr>
                </pic:pic>
              </a:graphicData>
            </a:graphic>
          </wp:inline>
        </w:drawing>
      </w:r>
      <w:r>
        <w:rPr>
          <w:rFonts w:ascii="Times New Roman"/>
          <w:b w:val="false"/>
          <w:i w:val="false"/>
          <w:color w:val="000000"/>
          <w:sz w:val="28"/>
        </w:rPr>
        <w:t>– пайыздың базистік мөлшерлемесі;</w:t>
      </w:r>
      <w:r>
        <w:br/>
      </w:r>
      <w:r>
        <w:rPr>
          <w:rFonts w:ascii="Times New Roman"/>
          <w:b w:val="false"/>
          <w:i w:val="false"/>
          <w:color w:val="000000"/>
          <w:sz w:val="28"/>
        </w:rPr>
        <w:t>
      </w:t>
      </w: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41300" cy="279400"/>
                    </a:xfrm>
                    <a:prstGeom prst="rect">
                      <a:avLst/>
                    </a:prstGeom>
                  </pic:spPr>
                </pic:pic>
              </a:graphicData>
            </a:graphic>
          </wp:inline>
        </w:drawing>
      </w: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41300" cy="279400"/>
                    </a:xfrm>
                    <a:prstGeom prst="rect">
                      <a:avLst/>
                    </a:prstGeom>
                  </pic:spPr>
                </pic:pic>
              </a:graphicData>
            </a:graphic>
          </wp:inline>
        </w:drawing>
      </w:r>
      <w:r>
        <w:rPr>
          <w:rFonts w:ascii="Times New Roman"/>
          <w:b w:val="false"/>
          <w:i w:val="false"/>
          <w:color w:val="000000"/>
          <w:sz w:val="28"/>
        </w:rPr>
        <w:t>– несиелер бойынша пайыздың мөлшерлемесі;</w:t>
      </w:r>
      <w:r>
        <w:br/>
      </w:r>
      <w:r>
        <w:rPr>
          <w:rFonts w:ascii="Times New Roman"/>
          <w:b w:val="false"/>
          <w:i w:val="false"/>
          <w:color w:val="000000"/>
          <w:sz w:val="28"/>
        </w:rPr>
        <w:t>
      </w:t>
      </w: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79400" cy="279400"/>
                    </a:xfrm>
                    <a:prstGeom prst="rect">
                      <a:avLst/>
                    </a:prstGeom>
                  </pic:spPr>
                </pic:pic>
              </a:graphicData>
            </a:graphic>
          </wp:inline>
        </w:drawing>
      </w: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79400" cy="279400"/>
                    </a:xfrm>
                    <a:prstGeom prst="rect">
                      <a:avLst/>
                    </a:prstGeom>
                  </pic:spPr>
                </pic:pic>
              </a:graphicData>
            </a:graphic>
          </wp:inline>
        </w:drawing>
      </w:r>
      <w:r>
        <w:rPr>
          <w:rFonts w:ascii="Times New Roman"/>
          <w:b w:val="false"/>
          <w:i w:val="false"/>
          <w:color w:val="000000"/>
          <w:sz w:val="28"/>
        </w:rPr>
        <w:t>– депозиттер бойынша пайыздың мөлшерлемесі;</w:t>
      </w:r>
      <w:r>
        <w:br/>
      </w:r>
      <w:r>
        <w:rPr>
          <w:rFonts w:ascii="Times New Roman"/>
          <w:b w:val="false"/>
          <w:i w:val="false"/>
          <w:color w:val="000000"/>
          <w:sz w:val="28"/>
        </w:rPr>
        <w:t>
      </w:t>
      </w: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04800" cy="279400"/>
                    </a:xfrm>
                    <a:prstGeom prst="rect">
                      <a:avLst/>
                    </a:prstGeom>
                  </pic:spPr>
                </pic:pic>
              </a:graphicData>
            </a:graphic>
          </wp:inline>
        </w:drawing>
      </w: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04800" cy="279400"/>
                    </a:xfrm>
                    <a:prstGeom prst="rect">
                      <a:avLst/>
                    </a:prstGeom>
                  </pic:spPr>
                </pic:pic>
              </a:graphicData>
            </a:graphic>
          </wp:inline>
        </w:drawing>
      </w:r>
      <w:r>
        <w:rPr>
          <w:rFonts w:ascii="Times New Roman"/>
          <w:b w:val="false"/>
          <w:i w:val="false"/>
          <w:color w:val="000000"/>
          <w:sz w:val="28"/>
        </w:rPr>
        <w:t>– орташа алғанда кезеңдегі несие қалдықтарының қалдықтардың жалпы құрылымындағы үлес салмағы;</w:t>
      </w:r>
      <w:r>
        <w:br/>
      </w:r>
      <w:r>
        <w:rPr>
          <w:rFonts w:ascii="Times New Roman"/>
          <w:b w:val="false"/>
          <w:i w:val="false"/>
          <w:color w:val="000000"/>
          <w:sz w:val="28"/>
        </w:rPr>
        <w:t>
      </w:t>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77800" cy="279400"/>
                    </a:xfrm>
                    <a:prstGeom prst="rect">
                      <a:avLst/>
                    </a:prstGeom>
                  </pic:spPr>
                </pic:pic>
              </a:graphicData>
            </a:graphic>
          </wp:inline>
        </w:drawing>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77800" cy="279400"/>
                    </a:xfrm>
                    <a:prstGeom prst="rect">
                      <a:avLst/>
                    </a:prstGeom>
                  </pic:spPr>
                </pic:pic>
              </a:graphicData>
            </a:graphic>
          </wp:inline>
        </w:drawing>
      </w:r>
      <w:r>
        <w:rPr>
          <w:rFonts w:ascii="Times New Roman"/>
          <w:b w:val="false"/>
          <w:i w:val="false"/>
          <w:color w:val="000000"/>
          <w:sz w:val="28"/>
        </w:rPr>
        <w:t>D – орташа алғанда кезеңдегі депозит қалдықтарының қалдықтардың жалпы құрылымындағы үлес салмағы.</w:t>
      </w:r>
      <w:r>
        <w:br/>
      </w:r>
      <w:r>
        <w:rPr>
          <w:rFonts w:ascii="Times New Roman"/>
          <w:b w:val="false"/>
          <w:i w:val="false"/>
          <w:color w:val="000000"/>
          <w:sz w:val="28"/>
        </w:rPr>
        <w:t>
      13. ҚДЖӨҚ шығарылымын есептеу осы Әдістемеге </w:t>
      </w:r>
      <w:r>
        <w:rPr>
          <w:rFonts w:ascii="Times New Roman"/>
          <w:b w:val="false"/>
          <w:i w:val="false"/>
          <w:color w:val="000000"/>
          <w:sz w:val="28"/>
        </w:rPr>
        <w:t>2-қосымшада</w:t>
      </w:r>
      <w:r>
        <w:rPr>
          <w:rFonts w:ascii="Times New Roman"/>
          <w:b w:val="false"/>
          <w:i w:val="false"/>
          <w:color w:val="000000"/>
          <w:sz w:val="28"/>
        </w:rPr>
        <w:t xml:space="preserve"> келтірілген. ҚДЖӨҚ шығарылымын есептеу несиелермен және депозиттермен операциялар үшін жеке жүргізіледі. Несиелермен операциялар үшін ҚДЖӨҚ шығарылымы есептік кезеңдегі несиелердің орташа қалдығын несиелер бойынша пайыз мөлшерлемесі мен пайыздың базистік мөлшерлемесі арасындағы айырмашылыққа көбейту жолымен есептеп шығарылады. Депозиттермен операциялар үшін ҚДЖӨҚ шығарылымы есептік кезеңдегі депозиттердің орташа қалдығын пайыздың базистік мөлшерлемесі мен депозиттер бойынша пайыз мөлшерлемесі арасындағы айырмашылыққа көбейту арқылы есептеп шығарылады. Несиелер мен депозиттер бойынша ҚДЖӨҚ шығарылымын есептеу формулалары келесідей:</w:t>
      </w:r>
    </w:p>
    <w:bookmarkEnd w:id="8"/>
    <w:p>
      <w:pPr>
        <w:spacing w:after="0"/>
        <w:ind w:left="0"/>
        <w:jc w:val="both"/>
      </w:pPr>
      <w:r>
        <w:rPr>
          <w:rFonts w:ascii="Times New Roman"/>
          <w:b w:val="false"/>
          <w:i w:val="false"/>
          <w:color w:val="000000"/>
          <w:sz w:val="28"/>
        </w:rPr>
        <w:t>              </w:t>
      </w:r>
      <w:r>
        <w:drawing>
          <wp:inline distT="0" distB="0" distL="0" distR="0">
            <wp:extent cx="2540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540000" cy="279400"/>
                    </a:xfrm>
                    <a:prstGeom prst="rect">
                      <a:avLst/>
                    </a:prstGeom>
                  </pic:spPr>
                </pic:pic>
              </a:graphicData>
            </a:graphic>
          </wp:inline>
        </w:drawing>
      </w:r>
      <w:r>
        <w:drawing>
          <wp:inline distT="0" distB="0" distL="0" distR="0">
            <wp:extent cx="2540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540000" cy="279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drawing>
          <wp:inline distT="0" distB="0" distL="0" distR="0">
            <wp:extent cx="2654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654300" cy="279400"/>
                    </a:xfrm>
                    <a:prstGeom prst="rect">
                      <a:avLst/>
                    </a:prstGeom>
                  </pic:spPr>
                </pic:pic>
              </a:graphicData>
            </a:graphic>
          </wp:inline>
        </w:drawing>
      </w:r>
      <w:r>
        <w:drawing>
          <wp:inline distT="0" distB="0" distL="0" distR="0">
            <wp:extent cx="2654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654300" cy="279400"/>
                    </a:xfrm>
                    <a:prstGeom prst="rect">
                      <a:avLst/>
                    </a:prstGeom>
                  </pic:spPr>
                </pic:pic>
              </a:graphicData>
            </a:graphic>
          </wp:inline>
        </w:drawing>
      </w:r>
      <w:r>
        <w:rPr>
          <w:rFonts w:ascii="Times New Roman"/>
          <w:b w:val="false"/>
          <w:i/>
          <w:color w:val="000000"/>
          <w:sz w:val="28"/>
        </w:rPr>
        <w:t>,</w:t>
      </w:r>
    </w:p>
    <w:bookmarkStart w:name="z31" w:id="9"/>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w:t>
      </w:r>
      <w:r>
        <w:drawing>
          <wp:inline distT="0" distB="0" distL="0" distR="0">
            <wp:extent cx="749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749300" cy="279400"/>
                    </a:xfrm>
                    <a:prstGeom prst="rect">
                      <a:avLst/>
                    </a:prstGeom>
                  </pic:spPr>
                </pic:pic>
              </a:graphicData>
            </a:graphic>
          </wp:inline>
        </w:drawing>
      </w:r>
      <w:r>
        <w:drawing>
          <wp:inline distT="0" distB="0" distL="0" distR="0">
            <wp:extent cx="749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749300" cy="279400"/>
                    </a:xfrm>
                    <a:prstGeom prst="rect">
                      <a:avLst/>
                    </a:prstGeom>
                  </pic:spPr>
                </pic:pic>
              </a:graphicData>
            </a:graphic>
          </wp:inline>
        </w:drawing>
      </w:r>
      <w:r>
        <w:rPr>
          <w:rFonts w:ascii="Times New Roman"/>
          <w:b w:val="false"/>
          <w:i w:val="false"/>
          <w:color w:val="000000"/>
          <w:sz w:val="28"/>
        </w:rPr>
        <w:t>– несиелер бойынша ҚДЖӨҚ шығарылымы;</w:t>
      </w:r>
      <w:r>
        <w:br/>
      </w:r>
      <w:r>
        <w:rPr>
          <w:rFonts w:ascii="Times New Roman"/>
          <w:b w:val="false"/>
          <w:i w:val="false"/>
          <w:color w:val="000000"/>
          <w:sz w:val="28"/>
        </w:rPr>
        <w:t>
      </w:t>
      </w:r>
      <w:r>
        <w:drawing>
          <wp:inline distT="0" distB="0" distL="0" distR="0">
            <wp:extent cx="774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774700" cy="279400"/>
                    </a:xfrm>
                    <a:prstGeom prst="rect">
                      <a:avLst/>
                    </a:prstGeom>
                  </pic:spPr>
                </pic:pic>
              </a:graphicData>
            </a:graphic>
          </wp:inline>
        </w:drawing>
      </w:r>
      <w:r>
        <w:drawing>
          <wp:inline distT="0" distB="0" distL="0" distR="0">
            <wp:extent cx="774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774700" cy="279400"/>
                    </a:xfrm>
                    <a:prstGeom prst="rect">
                      <a:avLst/>
                    </a:prstGeom>
                  </pic:spPr>
                </pic:pic>
              </a:graphicData>
            </a:graphic>
          </wp:inline>
        </w:drawing>
      </w:r>
      <w:r>
        <w:rPr>
          <w:rFonts w:ascii="Times New Roman"/>
          <w:b w:val="false"/>
          <w:i w:val="false"/>
          <w:color w:val="000000"/>
          <w:sz w:val="28"/>
        </w:rPr>
        <w:t>– депозиттер бойынша ҚДЖӨҚ шығарылымы;</w:t>
      </w:r>
      <w:r>
        <w:br/>
      </w:r>
      <w:r>
        <w:rPr>
          <w:rFonts w:ascii="Times New Roman"/>
          <w:b w:val="false"/>
          <w:i w:val="false"/>
          <w:color w:val="000000"/>
          <w:sz w:val="28"/>
        </w:rPr>
        <w:t>
      </w:t>
      </w: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66700" cy="279400"/>
                    </a:xfrm>
                    <a:prstGeom prst="rect">
                      <a:avLst/>
                    </a:prstGeom>
                  </pic:spPr>
                </pic:pic>
              </a:graphicData>
            </a:graphic>
          </wp:inline>
        </w:drawing>
      </w: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66700" cy="279400"/>
                    </a:xfrm>
                    <a:prstGeom prst="rect">
                      <a:avLst/>
                    </a:prstGeom>
                  </pic:spPr>
                </pic:pic>
              </a:graphicData>
            </a:graphic>
          </wp:inline>
        </w:drawing>
      </w:r>
      <w:r>
        <w:rPr>
          <w:rFonts w:ascii="Times New Roman"/>
          <w:b w:val="false"/>
          <w:i w:val="false"/>
          <w:color w:val="000000"/>
          <w:sz w:val="28"/>
        </w:rPr>
        <w:t>– орташа алғанда есептік кезеңдегі несиелердің қалдықтары;</w:t>
      </w:r>
      <w:r>
        <w:br/>
      </w:r>
      <w:r>
        <w:rPr>
          <w:rFonts w:ascii="Times New Roman"/>
          <w:b w:val="false"/>
          <w:i w:val="false"/>
          <w:color w:val="000000"/>
          <w:sz w:val="28"/>
        </w:rPr>
        <w:t>
      </w:t>
      </w: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04800" cy="279400"/>
                    </a:xfrm>
                    <a:prstGeom prst="rect">
                      <a:avLst/>
                    </a:prstGeom>
                  </pic:spPr>
                </pic:pic>
              </a:graphicData>
            </a:graphic>
          </wp:inline>
        </w:drawing>
      </w: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04800" cy="279400"/>
                    </a:xfrm>
                    <a:prstGeom prst="rect">
                      <a:avLst/>
                    </a:prstGeom>
                  </pic:spPr>
                </pic:pic>
              </a:graphicData>
            </a:graphic>
          </wp:inline>
        </w:drawing>
      </w:r>
      <w:r>
        <w:rPr>
          <w:rFonts w:ascii="Times New Roman"/>
          <w:b w:val="false"/>
          <w:i w:val="false"/>
          <w:color w:val="000000"/>
          <w:sz w:val="28"/>
        </w:rPr>
        <w:t>– орташа алғанда есептік кезеңдегі депозиттердің қалдықтары;</w:t>
      </w:r>
      <w:r>
        <w:br/>
      </w:r>
      <w:r>
        <w:rPr>
          <w:rFonts w:ascii="Times New Roman"/>
          <w:b w:val="false"/>
          <w:i w:val="false"/>
          <w:color w:val="000000"/>
          <w:sz w:val="28"/>
        </w:rPr>
        <w:t>
      </w:t>
      </w: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41300" cy="279400"/>
                    </a:xfrm>
                    <a:prstGeom prst="rect">
                      <a:avLst/>
                    </a:prstGeom>
                  </pic:spPr>
                </pic:pic>
              </a:graphicData>
            </a:graphic>
          </wp:inline>
        </w:drawing>
      </w: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41300" cy="279400"/>
                    </a:xfrm>
                    <a:prstGeom prst="rect">
                      <a:avLst/>
                    </a:prstGeom>
                  </pic:spPr>
                </pic:pic>
              </a:graphicData>
            </a:graphic>
          </wp:inline>
        </w:drawing>
      </w:r>
      <w:r>
        <w:rPr>
          <w:rFonts w:ascii="Times New Roman"/>
          <w:b w:val="false"/>
          <w:i w:val="false"/>
          <w:color w:val="000000"/>
          <w:sz w:val="28"/>
        </w:rPr>
        <w:t>– несиелер бойынша пайыздың мөлшерлемесі;</w:t>
      </w:r>
      <w:r>
        <w:br/>
      </w:r>
      <w:r>
        <w:rPr>
          <w:rFonts w:ascii="Times New Roman"/>
          <w:b w:val="false"/>
          <w:i w:val="false"/>
          <w:color w:val="000000"/>
          <w:sz w:val="28"/>
        </w:rPr>
        <w:t>
      </w:t>
      </w: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79400" cy="279400"/>
                    </a:xfrm>
                    <a:prstGeom prst="rect">
                      <a:avLst/>
                    </a:prstGeom>
                  </pic:spPr>
                </pic:pic>
              </a:graphicData>
            </a:graphic>
          </wp:inline>
        </w:drawing>
      </w: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79400" cy="279400"/>
                    </a:xfrm>
                    <a:prstGeom prst="rect">
                      <a:avLst/>
                    </a:prstGeom>
                  </pic:spPr>
                </pic:pic>
              </a:graphicData>
            </a:graphic>
          </wp:inline>
        </w:drawing>
      </w:r>
      <w:r>
        <w:rPr>
          <w:rFonts w:ascii="Times New Roman"/>
          <w:b w:val="false"/>
          <w:i w:val="false"/>
          <w:color w:val="000000"/>
          <w:sz w:val="28"/>
        </w:rPr>
        <w:t>– депозиттер бойынша пайыздың мөлшерлемесі;</w:t>
      </w:r>
      <w:r>
        <w:br/>
      </w:r>
      <w:r>
        <w:rPr>
          <w:rFonts w:ascii="Times New Roman"/>
          <w:b w:val="false"/>
          <w:i w:val="false"/>
          <w:color w:val="000000"/>
          <w:sz w:val="28"/>
        </w:rPr>
        <w:t>
      </w:t>
      </w: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28600" cy="279400"/>
                    </a:xfrm>
                    <a:prstGeom prst="rect">
                      <a:avLst/>
                    </a:prstGeom>
                  </pic:spPr>
                </pic:pic>
              </a:graphicData>
            </a:graphic>
          </wp:inline>
        </w:drawing>
      </w: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28600" cy="279400"/>
                    </a:xfrm>
                    <a:prstGeom prst="rect">
                      <a:avLst/>
                    </a:prstGeom>
                  </pic:spPr>
                </pic:pic>
              </a:graphicData>
            </a:graphic>
          </wp:inline>
        </w:drawing>
      </w:r>
      <w:r>
        <w:rPr>
          <w:rFonts w:ascii="Times New Roman"/>
          <w:b w:val="false"/>
          <w:i w:val="false"/>
          <w:color w:val="000000"/>
          <w:sz w:val="28"/>
        </w:rPr>
        <w:t>– пайыздың базистік мөлшерлемесі.</w:t>
      </w:r>
      <w:r>
        <w:br/>
      </w:r>
      <w:r>
        <w:rPr>
          <w:rFonts w:ascii="Times New Roman"/>
          <w:b w:val="false"/>
          <w:i w:val="false"/>
          <w:color w:val="000000"/>
          <w:sz w:val="28"/>
        </w:rPr>
        <w:t>
      14. ҚДЖӨҚ шығарылымының жалпы мөлшері несиелер бойынша ҚДЖӨҚ мен депозиттер бойынша ҚДЖӨҚ шығарылымдарын қосу арқылы алынады:</w:t>
      </w:r>
    </w:p>
    <w:bookmarkEnd w:id="9"/>
    <w:p>
      <w:pPr>
        <w:spacing w:after="0"/>
        <w:ind w:left="0"/>
        <w:jc w:val="both"/>
      </w:pPr>
      <w:r>
        <w:rPr>
          <w:rFonts w:ascii="Times New Roman"/>
          <w:b w:val="false"/>
          <w:i w:val="false"/>
          <w:color w:val="000000"/>
          <w:sz w:val="28"/>
        </w:rPr>
        <w:t>                         </w:t>
      </w:r>
      <w:r>
        <w:drawing>
          <wp:inline distT="0" distB="0" distL="0" distR="0">
            <wp:extent cx="281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819400" cy="279400"/>
                    </a:xfrm>
                    <a:prstGeom prst="rect">
                      <a:avLst/>
                    </a:prstGeom>
                  </pic:spPr>
                </pic:pic>
              </a:graphicData>
            </a:graphic>
          </wp:inline>
        </w:drawing>
      </w:r>
    </w:p>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w:t>
      </w:r>
      <w:r>
        <w:drawing>
          <wp:inline distT="0" distB="0" distL="0" distR="0">
            <wp:extent cx="749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749300" cy="279400"/>
                    </a:xfrm>
                    <a:prstGeom prst="rect">
                      <a:avLst/>
                    </a:prstGeom>
                  </pic:spPr>
                </pic:pic>
              </a:graphicData>
            </a:graphic>
          </wp:inline>
        </w:drawing>
      </w:r>
      <w:r>
        <w:drawing>
          <wp:inline distT="0" distB="0" distL="0" distR="0">
            <wp:extent cx="749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749300" cy="279400"/>
                    </a:xfrm>
                    <a:prstGeom prst="rect">
                      <a:avLst/>
                    </a:prstGeom>
                  </pic:spPr>
                </pic:pic>
              </a:graphicData>
            </a:graphic>
          </wp:inline>
        </w:drawing>
      </w:r>
      <w:r>
        <w:rPr>
          <w:rFonts w:ascii="Times New Roman"/>
          <w:b w:val="false"/>
          <w:i w:val="false"/>
          <w:color w:val="000000"/>
          <w:sz w:val="28"/>
        </w:rPr>
        <w:t>– несиелер бойынша ҚДЖӨҚ шығарылымы;</w:t>
      </w:r>
      <w:r>
        <w:br/>
      </w:r>
      <w:r>
        <w:rPr>
          <w:rFonts w:ascii="Times New Roman"/>
          <w:b w:val="false"/>
          <w:i w:val="false"/>
          <w:color w:val="000000"/>
          <w:sz w:val="28"/>
        </w:rPr>
        <w:t>
      </w:t>
      </w:r>
      <w:r>
        <w:drawing>
          <wp:inline distT="0" distB="0" distL="0" distR="0">
            <wp:extent cx="774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774700" cy="279400"/>
                    </a:xfrm>
                    <a:prstGeom prst="rect">
                      <a:avLst/>
                    </a:prstGeom>
                  </pic:spPr>
                </pic:pic>
              </a:graphicData>
            </a:graphic>
          </wp:inline>
        </w:drawing>
      </w:r>
      <w:r>
        <w:drawing>
          <wp:inline distT="0" distB="0" distL="0" distR="0">
            <wp:extent cx="774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774700" cy="279400"/>
                    </a:xfrm>
                    <a:prstGeom prst="rect">
                      <a:avLst/>
                    </a:prstGeom>
                  </pic:spPr>
                </pic:pic>
              </a:graphicData>
            </a:graphic>
          </wp:inline>
        </w:drawing>
      </w:r>
      <w:r>
        <w:rPr>
          <w:rFonts w:ascii="Times New Roman"/>
          <w:b w:val="false"/>
          <w:i w:val="false"/>
          <w:color w:val="000000"/>
          <w:sz w:val="28"/>
        </w:rPr>
        <w:t>– депозиттер бойынша ҚДЖӨҚ шығарылымы.</w:t>
      </w:r>
    </w:p>
    <w:bookmarkStart w:name="z32" w:id="10"/>
    <w:p>
      <w:pPr>
        <w:spacing w:after="0"/>
        <w:ind w:left="0"/>
        <w:jc w:val="left"/>
      </w:pPr>
      <w:r>
        <w:rPr>
          <w:rFonts w:ascii="Times New Roman"/>
          <w:b/>
          <w:i w:val="false"/>
          <w:color w:val="000000"/>
        </w:rPr>
        <w:t xml:space="preserve"> 
3-тарау. Пайдаланушылар бойынша КДЖӨҚ шығарылымын бөлу тәртібі</w:t>
      </w:r>
    </w:p>
    <w:bookmarkEnd w:id="10"/>
    <w:bookmarkStart w:name="z33" w:id="11"/>
    <w:p>
      <w:pPr>
        <w:spacing w:after="0"/>
        <w:ind w:left="0"/>
        <w:jc w:val="both"/>
      </w:pPr>
      <w:r>
        <w:rPr>
          <w:rFonts w:ascii="Times New Roman"/>
          <w:b w:val="false"/>
          <w:i w:val="false"/>
          <w:color w:val="000000"/>
          <w:sz w:val="28"/>
        </w:rPr>
        <w:t>
      15. Экономика секторлары бойынша ҚДЖӨҚ шығарылымын бөлу үшін экономика секторлары бөлінісіндегі кредиттер мен депозиттер бойынша деректер пайдаланылады. Экономиканың институционалдық секторлары бөлінісінде несиелер бойынша ҚДЖӨҚ шығарылымы кредиттер құрылымына қарай бөлінеді, депозиттер бойынша ҚДЖӨҚ шығарылымы депозиттер құрылымына қарай бөлінеді. Экономиканың институционалдық секторлары бөлінісіндегі кредиттер мен депозиттердің құрылымы осы Әдістемеге</w:t>
      </w:r>
      <w:r>
        <w:br/>
      </w:r>
      <w:r>
        <w:rPr>
          <w:rFonts w:ascii="Times New Roman"/>
          <w:b w:val="false"/>
          <w:i w:val="false"/>
          <w:color w:val="000000"/>
          <w:sz w:val="28"/>
        </w:rPr>
        <w:t>
</w:t>
      </w:r>
      <w:r>
        <w:rPr>
          <w:rFonts w:ascii="Times New Roman"/>
          <w:b w:val="false"/>
          <w:i w:val="false"/>
          <w:color w:val="000000"/>
          <w:sz w:val="28"/>
        </w:rPr>
        <w:t>3-қосымшада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Үй шаруашылықтары секторы үш кіші секторға бөлінеді:</w:t>
      </w:r>
      <w:r>
        <w:br/>
      </w:r>
      <w:r>
        <w:rPr>
          <w:rFonts w:ascii="Times New Roman"/>
          <w:b w:val="false"/>
          <w:i w:val="false"/>
          <w:color w:val="000000"/>
          <w:sz w:val="28"/>
        </w:rPr>
        <w:t>
</w:t>
      </w:r>
      <w:r>
        <w:rPr>
          <w:rFonts w:ascii="Times New Roman"/>
          <w:b w:val="false"/>
          <w:i w:val="false"/>
          <w:color w:val="000000"/>
          <w:sz w:val="28"/>
        </w:rPr>
        <w:t>
      1) тұрғын үй иелері;</w:t>
      </w:r>
      <w:r>
        <w:br/>
      </w:r>
      <w:r>
        <w:rPr>
          <w:rFonts w:ascii="Times New Roman"/>
          <w:b w:val="false"/>
          <w:i w:val="false"/>
          <w:color w:val="000000"/>
          <w:sz w:val="28"/>
        </w:rPr>
        <w:t>
</w:t>
      </w:r>
      <w:r>
        <w:rPr>
          <w:rFonts w:ascii="Times New Roman"/>
          <w:b w:val="false"/>
          <w:i w:val="false"/>
          <w:color w:val="000000"/>
          <w:sz w:val="28"/>
        </w:rPr>
        <w:t>
      2) түпкілікті тұтынушылар;</w:t>
      </w:r>
      <w:r>
        <w:br/>
      </w:r>
      <w:r>
        <w:rPr>
          <w:rFonts w:ascii="Times New Roman"/>
          <w:b w:val="false"/>
          <w:i w:val="false"/>
          <w:color w:val="000000"/>
          <w:sz w:val="28"/>
        </w:rPr>
        <w:t>
</w:t>
      </w:r>
      <w:r>
        <w:rPr>
          <w:rFonts w:ascii="Times New Roman"/>
          <w:b w:val="false"/>
          <w:i w:val="false"/>
          <w:color w:val="000000"/>
          <w:sz w:val="28"/>
        </w:rPr>
        <w:t>
      3) корпорацияланбаған кәсіпорындар.</w:t>
      </w:r>
      <w:r>
        <w:br/>
      </w:r>
      <w:r>
        <w:rPr>
          <w:rFonts w:ascii="Times New Roman"/>
          <w:b w:val="false"/>
          <w:i w:val="false"/>
          <w:color w:val="000000"/>
          <w:sz w:val="28"/>
        </w:rPr>
        <w:t>
</w:t>
      </w:r>
      <w:r>
        <w:rPr>
          <w:rFonts w:ascii="Times New Roman"/>
          <w:b w:val="false"/>
          <w:i w:val="false"/>
          <w:color w:val="000000"/>
          <w:sz w:val="28"/>
        </w:rPr>
        <w:t>
      17. Қазақстан Республикасы Ұлттық Банкінің статистикалық жарияланымдарында банк кредиттері бойынша кредиттеу объектілеріне қарай құрылысқа және азаматтардың тұрғын үй сатып алуға арналған кредиттері мен азаматтардың тұтынушылық мақсаттарына арналған кредиттерінің ақпараты бар, бұл ақпарат негізінде олардың үй шаруашылықтары секторының кредиттеріндегі үлесі анықталады, кредиттердің қалған бөлігі корпорацияланбаған кәсіпорындардың кредиттеріне жатады. Осы есептік үлестер бойынша үй шаруашылықтары секторының ҚДЖӨҚ шығарылымы бөлінеді. Экономика секторлары бойынша ҚДЖӨҚ шығарылымын бөлу нәтижесі осы Әдістемеге </w:t>
      </w:r>
      <w:r>
        <w:rPr>
          <w:rFonts w:ascii="Times New Roman"/>
          <w:b w:val="false"/>
          <w:i w:val="false"/>
          <w:color w:val="000000"/>
          <w:sz w:val="28"/>
        </w:rPr>
        <w:t>4-қосымшада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18. Институционалдық секторлар-пайдаланушылар бойынша ҚДЖӨҚ шығарылымын есептеу пайдалану элементтері бойынша оны бөлу үшін қажетті деректерді алуға мүмкіндік береді. Қаржылық емес және қаржылық корпорациялар, мемлекеттік басқару, үй шаруашылықтарына қызмет көрсететін коммерциялық емес ұйымдар (бұдан әрі – ҮШҚКЕҰ) секторлары және үй шаруашылықтарының кіші секторлары – өздері тұратын тұрғын үй иелері және корпорацияланбаған кәсіпорындардың иелері үшін ҚДЖӨҚ шығарылымы – осы секторлардың аралық тұтынуына жатады. Үй шаруашылықтары-тұтынушылардың кіші секторы үшін ҚДЖӨҚ шығарылымы үй шаруашылықтары секторының түпкілікті тұтынуына жатады.</w:t>
      </w:r>
      <w:r>
        <w:br/>
      </w:r>
      <w:r>
        <w:rPr>
          <w:rFonts w:ascii="Times New Roman"/>
          <w:b w:val="false"/>
          <w:i w:val="false"/>
          <w:color w:val="000000"/>
          <w:sz w:val="28"/>
        </w:rPr>
        <w:t>
</w:t>
      </w:r>
      <w:r>
        <w:rPr>
          <w:rFonts w:ascii="Times New Roman"/>
          <w:b w:val="false"/>
          <w:i w:val="false"/>
          <w:color w:val="000000"/>
          <w:sz w:val="28"/>
        </w:rPr>
        <w:t>
      19. Аралық тұтынуға қаржылық емес сектордың ҚДЖӨҚ шығарылымын бөлу осы Әдістемеге </w:t>
      </w:r>
      <w:r>
        <w:rPr>
          <w:rFonts w:ascii="Times New Roman"/>
          <w:b w:val="false"/>
          <w:i w:val="false"/>
          <w:color w:val="000000"/>
          <w:sz w:val="28"/>
        </w:rPr>
        <w:t>5-қосымшада</w:t>
      </w:r>
      <w:r>
        <w:rPr>
          <w:rFonts w:ascii="Times New Roman"/>
          <w:b w:val="false"/>
          <w:i w:val="false"/>
          <w:color w:val="000000"/>
          <w:sz w:val="28"/>
        </w:rPr>
        <w:t xml:space="preserve"> келтірілген. Келтірілген есептеулерден көрініп тұрғандай аралық шығындарға бөлу үшін экономика салаларындағы банктердің кредиттері жөніндегі ақпарат пайдаланылған.</w:t>
      </w:r>
      <w:r>
        <w:br/>
      </w:r>
      <w:r>
        <w:rPr>
          <w:rFonts w:ascii="Times New Roman"/>
          <w:b w:val="false"/>
          <w:i w:val="false"/>
          <w:color w:val="000000"/>
          <w:sz w:val="28"/>
        </w:rPr>
        <w:t>
      Мемлекеттік басқарудың ҚДЖӨҚ шығарылымы «Мемлекеттік басқару және қорғаныс; міндетті әлеуметтік сақтандыру» саласын пайдалануға жатады.</w:t>
      </w:r>
      <w:r>
        <w:br/>
      </w:r>
      <w:r>
        <w:rPr>
          <w:rFonts w:ascii="Times New Roman"/>
          <w:b w:val="false"/>
          <w:i w:val="false"/>
          <w:color w:val="000000"/>
          <w:sz w:val="28"/>
        </w:rPr>
        <w:t>
      Қалған секторлардың ҚДЖӨҚ шығарылымы тиісті секторлардың аралық тұтыну құрылымы бойынша бөлінеді.</w:t>
      </w:r>
    </w:p>
    <w:bookmarkEnd w:id="11"/>
    <w:bookmarkStart w:name="z41" w:id="12"/>
    <w:p>
      <w:pPr>
        <w:spacing w:after="0"/>
        <w:ind w:left="0"/>
        <w:jc w:val="left"/>
      </w:pPr>
      <w:r>
        <w:rPr>
          <w:rFonts w:ascii="Times New Roman"/>
          <w:b/>
          <w:i w:val="false"/>
          <w:color w:val="000000"/>
        </w:rPr>
        <w:t xml:space="preserve"> 
4-тарау. ҚДЖӨҚ экспортын есептеу</w:t>
      </w:r>
    </w:p>
    <w:bookmarkEnd w:id="12"/>
    <w:bookmarkStart w:name="z42" w:id="13"/>
    <w:p>
      <w:pPr>
        <w:spacing w:after="0"/>
        <w:ind w:left="0"/>
        <w:jc w:val="both"/>
      </w:pPr>
      <w:r>
        <w:rPr>
          <w:rFonts w:ascii="Times New Roman"/>
          <w:b w:val="false"/>
          <w:i w:val="false"/>
          <w:color w:val="000000"/>
          <w:sz w:val="28"/>
        </w:rPr>
        <w:t>
      20. ҚДЖӨҚ шығарылымын толық бағалау үшін несиелер резиденттердің қаржылық мекемелерімен бейрезиденттерге берілген және бейрезиденттердің депозиттері резиденттердің қаржылық мекемелеріне орналастырған кездегі несиелермен және депозиттермен операцияларға қатысты анықталатын ҚДЖӨҚ экспорты да бағаланады.</w:t>
      </w:r>
      <w:r>
        <w:br/>
      </w:r>
      <w:r>
        <w:rPr>
          <w:rFonts w:ascii="Times New Roman"/>
          <w:b w:val="false"/>
          <w:i w:val="false"/>
          <w:color w:val="000000"/>
          <w:sz w:val="28"/>
        </w:rPr>
        <w:t>
</w:t>
      </w:r>
      <w:r>
        <w:rPr>
          <w:rFonts w:ascii="Times New Roman"/>
          <w:b w:val="false"/>
          <w:i w:val="false"/>
          <w:color w:val="000000"/>
          <w:sz w:val="28"/>
        </w:rPr>
        <w:t>
      21. ҚДЖӨҚ экспортын қалыптастыру кезінде халықаралық инвестициялық айқындама мен төлем балансы бойынша Қазақстан Республикасы Ұлттық Банкінің ресми интернет-ресурсына орналастырылған деректері ақпараттық негіз болып табылады.</w:t>
      </w:r>
      <w:r>
        <w:br/>
      </w:r>
      <w:r>
        <w:rPr>
          <w:rFonts w:ascii="Times New Roman"/>
          <w:b w:val="false"/>
          <w:i w:val="false"/>
          <w:color w:val="000000"/>
          <w:sz w:val="28"/>
        </w:rPr>
        <w:t>
</w:t>
      </w:r>
      <w:r>
        <w:rPr>
          <w:rFonts w:ascii="Times New Roman"/>
          <w:b w:val="false"/>
          <w:i w:val="false"/>
          <w:color w:val="000000"/>
          <w:sz w:val="28"/>
        </w:rPr>
        <w:t>
      22. Экспортқа ҚДЖӨҚ шығарылымын есептеулердің тәсілі ішкі экономика үшін ҚДЖӨҚ шығарылымын есептеулерге ұқсас, яғни ҚДЖӨҚ экспорты базистік пайыздық мөлшерлеме тұжырымдамасын пайдалану арқылы есептеледі.</w:t>
      </w:r>
      <w:r>
        <w:br/>
      </w:r>
      <w:r>
        <w:rPr>
          <w:rFonts w:ascii="Times New Roman"/>
          <w:b w:val="false"/>
          <w:i w:val="false"/>
          <w:color w:val="000000"/>
          <w:sz w:val="28"/>
        </w:rPr>
        <w:t>
</w:t>
      </w:r>
      <w:r>
        <w:rPr>
          <w:rFonts w:ascii="Times New Roman"/>
          <w:b w:val="false"/>
          <w:i w:val="false"/>
          <w:color w:val="000000"/>
          <w:sz w:val="28"/>
        </w:rPr>
        <w:t>
      23. Банкаралық кредиттер мен депозиттер базистік мөлшерлеме бойынша немесе соған жақын ұсынылады, бұл жағдайда ҚДЖӨҚ болмайды. Сапалы базистік пайыздық мөлшерлемені есептеу бейрезиденттерден алынған пайыздар және бейрезиденттерге төленген пайыздар жөніндегі төлем балансының деректері резиденттер банктері мен бейрезиденттер банктері арасындағы түсімдер мен төлемдерді қосқан кезде қиындай түседі. ҚДЖӨҚ экспортын есептеуде базистік мөлшерлеме ретінде ішкі экономиканың базистік мөлшерлемесі пайдаланылады, пайыздың базистік мөлшерлемесінің есептелуі осы Әдістемеге 1-қосымшада көрсетілген.</w:t>
      </w:r>
      <w:r>
        <w:br/>
      </w:r>
      <w:r>
        <w:rPr>
          <w:rFonts w:ascii="Times New Roman"/>
          <w:b w:val="false"/>
          <w:i w:val="false"/>
          <w:color w:val="000000"/>
          <w:sz w:val="28"/>
        </w:rPr>
        <w:t>
</w:t>
      </w:r>
      <w:r>
        <w:rPr>
          <w:rFonts w:ascii="Times New Roman"/>
          <w:b w:val="false"/>
          <w:i w:val="false"/>
          <w:color w:val="000000"/>
          <w:sz w:val="28"/>
        </w:rPr>
        <w:t>
      24. ҚДЖӨҚ экспорты көрсетілетін қызметтер экспортының құрамында ескеріледі. ҚДЖӨҚ экспортын есептеу осы Әдістемеге </w:t>
      </w:r>
      <w:r>
        <w:rPr>
          <w:rFonts w:ascii="Times New Roman"/>
          <w:b w:val="false"/>
          <w:i w:val="false"/>
          <w:color w:val="000000"/>
          <w:sz w:val="28"/>
        </w:rPr>
        <w:t>6-қосымшада</w:t>
      </w:r>
      <w:r>
        <w:rPr>
          <w:rFonts w:ascii="Times New Roman"/>
          <w:b w:val="false"/>
          <w:i w:val="false"/>
          <w:color w:val="000000"/>
          <w:sz w:val="28"/>
        </w:rPr>
        <w:t xml:space="preserve"> келтірілген.</w:t>
      </w:r>
    </w:p>
    <w:bookmarkEnd w:id="13"/>
    <w:bookmarkStart w:name="z47" w:id="14"/>
    <w:p>
      <w:pPr>
        <w:spacing w:after="0"/>
        <w:ind w:left="0"/>
        <w:jc w:val="both"/>
      </w:pPr>
      <w:r>
        <w:rPr>
          <w:rFonts w:ascii="Times New Roman"/>
          <w:b w:val="false"/>
          <w:i w:val="false"/>
          <w:color w:val="000000"/>
          <w:sz w:val="28"/>
        </w:rPr>
        <w:t xml:space="preserve">
Қаржылық делдалдық қызметтерінің </w:t>
      </w:r>
      <w:r>
        <w:br/>
      </w:r>
      <w:r>
        <w:rPr>
          <w:rFonts w:ascii="Times New Roman"/>
          <w:b w:val="false"/>
          <w:i w:val="false"/>
          <w:color w:val="000000"/>
          <w:sz w:val="28"/>
        </w:rPr>
        <w:t xml:space="preserve">
шығарылымын есепке алу     </w:t>
      </w:r>
      <w:r>
        <w:br/>
      </w:r>
      <w:r>
        <w:rPr>
          <w:rFonts w:ascii="Times New Roman"/>
          <w:b w:val="false"/>
          <w:i w:val="false"/>
          <w:color w:val="000000"/>
          <w:sz w:val="28"/>
        </w:rPr>
        <w:t xml:space="preserve">
әдістемесіне 1-қосымша     </w:t>
      </w:r>
    </w:p>
    <w:bookmarkEnd w:id="14"/>
    <w:p>
      <w:pPr>
        <w:spacing w:after="0"/>
        <w:ind w:left="0"/>
        <w:jc w:val="left"/>
      </w:pPr>
      <w:r>
        <w:rPr>
          <w:rFonts w:ascii="Times New Roman"/>
          <w:b/>
          <w:i w:val="false"/>
          <w:color w:val="000000"/>
        </w:rPr>
        <w:t xml:space="preserve"> Пайыздың базистік мөлшерлемесінің есептелуі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888"/>
        <w:gridCol w:w="875"/>
        <w:gridCol w:w="840"/>
        <w:gridCol w:w="784"/>
        <w:gridCol w:w="861"/>
        <w:gridCol w:w="826"/>
        <w:gridCol w:w="1116"/>
        <w:gridCol w:w="1179"/>
        <w:gridCol w:w="1043"/>
        <w:gridCol w:w="1203"/>
        <w:gridCol w:w="1238"/>
        <w:gridCol w:w="2396"/>
      </w:tblGrid>
      <w:tr>
        <w:trPr>
          <w:trHeight w:val="765" w:hRule="atLeast"/>
        </w:trPr>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Қалдықтары, млн.теңге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(төленген) пайыздар, млн.теңге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Кезеңге орташа қалдықтары, млн.теңге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Пайыздың мөлшерлемелері, %</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 барлығы, млн.теңге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Салмақтары,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Пайыздың базистік мөлшерлемесі, %</w:t>
            </w:r>
          </w:p>
        </w:tc>
      </w:tr>
      <w:tr>
        <w:trPr>
          <w:trHeight w:val="765" w:hRule="atLeast"/>
        </w:trPr>
        <w:tc>
          <w:tcPr>
            <w:tcW w:w="0" w:type="auto"/>
            <w:vMerge/>
            <w:tcBorders>
              <w:top w:val="nil"/>
              <w:left w:val="single" w:color="cfcfcf" w:sz="5"/>
              <w:bottom w:val="single" w:color="cfcfcf" w:sz="5"/>
              <w:right w:val="single" w:color="cfcfcf" w:sz="5"/>
            </w:tcBorders>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несиелердің</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депозиттердің</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несиелер бойынша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депозиттер бойынша</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несиелердің</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депозиттердің</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несиелер бойынша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депозиттер бойынша</w:t>
            </w:r>
          </w:p>
        </w:tc>
        <w:tc>
          <w:tcPr>
            <w:tcW w:w="0" w:type="auto"/>
            <w:vMerge/>
            <w:tcBorders>
              <w:top w:val="nil"/>
              <w:left w:val="single" w:color="cfcfcf" w:sz="5"/>
              <w:bottom w:val="single" w:color="cfcfcf" w:sz="5"/>
              <w:right w:val="single" w:color="cfcfcf" w:sz="5"/>
            </w:tcBorders>
          </w:tcP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несиелердің</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депозиттердің</w:t>
            </w:r>
          </w:p>
        </w:tc>
        <w:tc>
          <w:tcPr>
            <w:tcW w:w="0" w:type="auto"/>
            <w:vMerge/>
            <w:tcBorders>
              <w:top w:val="nil"/>
              <w:left w:val="single" w:color="cfcfcf" w:sz="5"/>
              <w:bottom w:val="single" w:color="cfcfcf" w:sz="5"/>
              <w:right w:val="single" w:color="cfcfcf" w:sz="5"/>
            </w:tcBorders>
          </w:tcPr>
          <w:p/>
        </w:tc>
      </w:tr>
      <w:tr>
        <w:trPr>
          <w:trHeight w:val="765" w:hRule="atLeast"/>
        </w:trPr>
        <w:tc>
          <w:tcPr>
            <w:tcW w:w="0" w:type="auto"/>
            <w:vMerge/>
            <w:tcBorders>
              <w:top w:val="nil"/>
              <w:left w:val="single" w:color="cfcfcf" w:sz="5"/>
              <w:bottom w:val="single" w:color="cfcfcf" w:sz="5"/>
              <w:right w:val="single" w:color="cfcfcf" w:sz="5"/>
            </w:tcBorders>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12=(7*10+8*11)/100</w:t>
            </w:r>
          </w:p>
        </w:tc>
      </w:tr>
      <w:tr>
        <w:trPr>
          <w:trHeight w:val="15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9 958 040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8 994 735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9 902 445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9 073 532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87 823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32 446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9 930 243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9 034 134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18 964 376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25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10 002 721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9 126 719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81 231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31 366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9 952 583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9 100 126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19 052 709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25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10 118 207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9 649 854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81 587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32 687</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10 060 464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9 388 287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19 448 751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25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10 258 633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9 612 620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32 329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10 188 420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9 631 237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19 819 657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25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10 373 628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9 858 172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104 479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33 786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10 316 131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9 735 396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20 051 527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25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10 544 984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10 055 355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69 614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33 297</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10 459 306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9 956 764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20 416 070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25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10 707 692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10 205 826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113 734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36 483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10 626 338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10 130 591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20 756 929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25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10 782 777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9 882 913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33 865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10 745 235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10 044 370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20 789 604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25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10 935 689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10 104 699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91 948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34 404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10 859 233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9 993 806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20 853 039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25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11 040 434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10 242 495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95 849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36 167</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10 988 062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10 173 597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21 161 659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25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11 251 456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9 935 252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111 228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35 833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11 145 945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10 088 874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21 234 819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27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11 291 548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10 085 857</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98 193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36 900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11 271 502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10 010 555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21 282 057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25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11 314 974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10 484 454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96 382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37 409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11 303 261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10 285 156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21 588 417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25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12 069 376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11 032 811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90 890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36 018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11 692 175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10 758 633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22 450 808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25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12 166 613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11 476 295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99 771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37 365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12 117 995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11 254 553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23 372 548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25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12 229 635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11 423 070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98 549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37 434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12 198 124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11 449 683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23 647 807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25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12 306 369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11 523 747</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101 519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39 304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12 268 002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11 473 409</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23 741 411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25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12 163 324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11 959 245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100 803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39 016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12 234 847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11 741 496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23 976 343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25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12 185 597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11 985 061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105 375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40 943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12 174 461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11 972 153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24 146 614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25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12 179 053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11 970 059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104 443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40 434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12 182 325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11 977 560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24 159 885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25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12 228 285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12 097 531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105 755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41 702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12 203 669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12 033 795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24 237 464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25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12 163 423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12 276 223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110 736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41 430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12 195 854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12 186 877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24 382 731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25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12 212 913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11 752 291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109 093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41 260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12 188 168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12 014 257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24 202 425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27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12 105 684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11 694 235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110 463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38 376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12 159 299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11 723 263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23 882 562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25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12 165 954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11 367 374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107 906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39 913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12 135 819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11 530 805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23 666 624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25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12 080 763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11 266 376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98 814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37 712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12 123 359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11 316 875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23 440 234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25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12 045 438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11 284 994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110 173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40 688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12 063 101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11 275 685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23 338 786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25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12 103 029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11 248 321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108 777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39 847</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12 074 234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11 266 658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23 340 891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25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12 068 251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11 446 876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110 673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39 807</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12 085 640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11 347 599</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23 433 239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25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10 711 452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11 939 252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81 437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29 746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11 389 852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11 693 064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23 082 916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25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10 639 991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11 802 886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114 601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40 904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10 675 722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11 871 069</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22 546 791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25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11 378 882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13 205 479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117 531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41 708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11 009 437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12 504 183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23 513 619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25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11 834 094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14 295 026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121 726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45 144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11 606 488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13 750 253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25 356 741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25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11 964 441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14 573 731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126 441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46 226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11 899 268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14 434 379</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26 333 646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25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12 368 582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15 494 199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128 237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48 846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12 166 512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15 033 965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27 200 477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13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12 674 245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15 970 481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132 694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53 496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12 521 414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15 732 340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28 253 754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bl>
    <w:bookmarkStart w:name="z48" w:id="15"/>
    <w:p>
      <w:pPr>
        <w:spacing w:after="0"/>
        <w:ind w:left="0"/>
        <w:jc w:val="both"/>
      </w:pPr>
      <w:r>
        <w:rPr>
          <w:rFonts w:ascii="Times New Roman"/>
          <w:b w:val="false"/>
          <w:i w:val="false"/>
          <w:color w:val="000000"/>
          <w:sz w:val="28"/>
        </w:rPr>
        <w:t xml:space="preserve">
Қаржылық делдалдық қызметтерінің </w:t>
      </w:r>
      <w:r>
        <w:br/>
      </w:r>
      <w:r>
        <w:rPr>
          <w:rFonts w:ascii="Times New Roman"/>
          <w:b w:val="false"/>
          <w:i w:val="false"/>
          <w:color w:val="000000"/>
          <w:sz w:val="28"/>
        </w:rPr>
        <w:t xml:space="preserve">
шығарылымын есепке алу әдістемесіне </w:t>
      </w:r>
      <w:r>
        <w:br/>
      </w:r>
      <w:r>
        <w:rPr>
          <w:rFonts w:ascii="Times New Roman"/>
          <w:b w:val="false"/>
          <w:i w:val="false"/>
          <w:color w:val="000000"/>
          <w:sz w:val="28"/>
        </w:rPr>
        <w:t xml:space="preserve">
2-қосымша           </w:t>
      </w:r>
    </w:p>
    <w:bookmarkEnd w:id="15"/>
    <w:p>
      <w:pPr>
        <w:spacing w:after="0"/>
        <w:ind w:left="0"/>
        <w:jc w:val="left"/>
      </w:pPr>
      <w:r>
        <w:rPr>
          <w:rFonts w:ascii="Times New Roman"/>
          <w:b/>
          <w:i w:val="false"/>
          <w:color w:val="000000"/>
        </w:rPr>
        <w:t xml:space="preserve"> Қаржылық делдалдықтың жанама түрде өлшенетін қызметтерінің шығарылымын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7"/>
        <w:gridCol w:w="4022"/>
        <w:gridCol w:w="4108"/>
        <w:gridCol w:w="4023"/>
      </w:tblGrid>
      <w:tr>
        <w:trPr>
          <w:trHeight w:val="255" w:hRule="atLeast"/>
        </w:trPr>
        <w:tc>
          <w:tcPr>
            <w:tcW w:w="1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ҚДЖӨҚ, млн.теңге</w:t>
            </w:r>
          </w:p>
        </w:tc>
        <w:tc>
          <w:tcPr>
            <w:tcW w:w="4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ҚДЖӨҚ барлығы, млн.теңге</w:t>
            </w:r>
          </w:p>
        </w:tc>
      </w:tr>
      <w:tr>
        <w:trPr>
          <w:trHeight w:val="270" w:hRule="atLeast"/>
        </w:trPr>
        <w:tc>
          <w:tcPr>
            <w:tcW w:w="0" w:type="auto"/>
            <w:vMerge/>
            <w:tcBorders>
              <w:top w:val="nil"/>
              <w:left w:val="single" w:color="cfcfcf" w:sz="5"/>
              <w:bottom w:val="single" w:color="cfcfcf" w:sz="5"/>
              <w:right w:val="single" w:color="cfcfcf" w:sz="5"/>
            </w:tcBorders>
          </w:tcP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несиелер бойынша</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депозиттер бойынша</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rPr>
                <w:rFonts w:ascii="Times New Roman"/>
                <w:b w:val="false"/>
                <w:i w:val="false"/>
                <w:color w:val="000000"/>
                <w:vertAlign w:val="superscript"/>
              </w:rPr>
              <w:t>*</w:t>
            </w:r>
            <w:r>
              <w:rPr>
                <w:rFonts w:ascii="Times New Roman"/>
                <w:b w:val="false"/>
                <w:i w:val="false"/>
                <w:color w:val="000000"/>
                <w:sz w:val="20"/>
              </w:rPr>
              <w:t>=(7-12)%*5</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rPr>
                <w:rFonts w:ascii="Times New Roman"/>
                <w:b w:val="false"/>
                <w:i w:val="false"/>
                <w:color w:val="000000"/>
                <w:vertAlign w:val="superscript"/>
              </w:rPr>
              <w:t>*</w:t>
            </w:r>
            <w:r>
              <w:rPr>
                <w:rFonts w:ascii="Times New Roman"/>
                <w:b w:val="false"/>
                <w:i w:val="false"/>
                <w:color w:val="000000"/>
                <w:sz w:val="20"/>
              </w:rPr>
              <w:t>=(12-8)%*6</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rPr>
                <w:rFonts w:ascii="Times New Roman"/>
                <w:b w:val="false"/>
                <w:i w:val="false"/>
                <w:color w:val="000000"/>
                <w:vertAlign w:val="superscript"/>
              </w:rPr>
              <w:t>*</w:t>
            </w:r>
            <w:r>
              <w:rPr>
                <w:rFonts w:ascii="Times New Roman"/>
                <w:b w:val="false"/>
                <w:i w:val="false"/>
                <w:color w:val="000000"/>
                <w:sz w:val="20"/>
              </w:rPr>
              <w:t>=13+14</w:t>
            </w:r>
          </w:p>
        </w:tc>
      </w:tr>
      <w:tr>
        <w:trPr>
          <w:trHeight w:val="255"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01.13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24 847</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24 847</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49 694</w:t>
            </w:r>
          </w:p>
        </w:tc>
      </w:tr>
      <w:tr>
        <w:trPr>
          <w:trHeight w:val="255"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02.13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22 414</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22 414</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44 827</w:t>
            </w:r>
          </w:p>
        </w:tc>
      </w:tr>
      <w:tr>
        <w:trPr>
          <w:trHeight w:val="255"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03.13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22 475</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22 475</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44 951</w:t>
            </w:r>
          </w:p>
        </w:tc>
      </w:tr>
      <w:tr>
        <w:trPr>
          <w:trHeight w:val="255"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04.13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25 804</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25 804</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51 608</w:t>
            </w:r>
          </w:p>
        </w:tc>
      </w:tr>
      <w:tr>
        <w:trPr>
          <w:trHeight w:val="255"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05.13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33 344</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33 344</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66 688</w:t>
            </w:r>
          </w:p>
        </w:tc>
      </w:tr>
      <w:tr>
        <w:trPr>
          <w:trHeight w:val="255"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06.13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16 892</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16 892</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33 784</w:t>
            </w:r>
          </w:p>
        </w:tc>
      </w:tr>
      <w:tr>
        <w:trPr>
          <w:trHeight w:val="255"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07.13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36 832</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36 832</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73 664</w:t>
            </w:r>
          </w:p>
        </w:tc>
      </w:tr>
      <w:tr>
        <w:trPr>
          <w:trHeight w:val="255"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08.13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16 419</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16 419</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32 838</w:t>
            </w:r>
          </w:p>
        </w:tc>
      </w:tr>
      <w:tr>
        <w:trPr>
          <w:trHeight w:val="255"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09.13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26 150</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26 150</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52 301</w:t>
            </w:r>
          </w:p>
        </w:tc>
      </w:tr>
      <w:tr>
        <w:trPr>
          <w:trHeight w:val="255"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10.13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27 300</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27 300</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54 600</w:t>
            </w:r>
          </w:p>
        </w:tc>
      </w:tr>
      <w:tr>
        <w:trPr>
          <w:trHeight w:val="255"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11.13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34 037</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34 037</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68 074</w:t>
            </w:r>
          </w:p>
        </w:tc>
      </w:tr>
      <w:tr>
        <w:trPr>
          <w:trHeight w:val="255"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12.13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26 645</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26 645</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53 289</w:t>
            </w:r>
          </w:p>
        </w:tc>
      </w:tr>
      <w:tr>
        <w:trPr>
          <w:trHeight w:val="255"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01.14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26 332</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26 332</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52 663</w:t>
            </w:r>
          </w:p>
        </w:tc>
      </w:tr>
      <w:tr>
        <w:trPr>
          <w:trHeight w:val="255"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02.14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24 798</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24 798</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49 595</w:t>
            </w:r>
          </w:p>
        </w:tc>
      </w:tr>
      <w:tr>
        <w:trPr>
          <w:trHeight w:val="255"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03.14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28 670</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28 670</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57 340</w:t>
            </w:r>
          </w:p>
        </w:tc>
      </w:tr>
      <w:tr>
        <w:trPr>
          <w:trHeight w:val="255"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04.14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28 405</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28 405</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56 811</w:t>
            </w:r>
          </w:p>
        </w:tc>
      </w:tr>
      <w:tr>
        <w:trPr>
          <w:trHeight w:val="255"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05.14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28 751</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28 751</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57 502</w:t>
            </w:r>
          </w:p>
        </w:tc>
      </w:tr>
      <w:tr>
        <w:trPr>
          <w:trHeight w:val="255"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06.14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29 455</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29 455</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58 910</w:t>
            </w:r>
          </w:p>
        </w:tc>
      </w:tr>
      <w:tr>
        <w:trPr>
          <w:trHeight w:val="255"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07.14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31 603</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31 603</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63 206</w:t>
            </w:r>
          </w:p>
        </w:tc>
      </w:tr>
      <w:tr>
        <w:trPr>
          <w:trHeight w:val="255"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08.14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31 390</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31 390</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62 781</w:t>
            </w:r>
          </w:p>
        </w:tc>
      </w:tr>
      <w:tr>
        <w:trPr>
          <w:trHeight w:val="255"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09.14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31 510</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31 510</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63 020</w:t>
            </w:r>
          </w:p>
        </w:tc>
      </w:tr>
      <w:tr>
        <w:trPr>
          <w:trHeight w:val="255"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10.14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34 625</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34 625</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69 250</w:t>
            </w:r>
          </w:p>
        </w:tc>
      </w:tr>
      <w:tr>
        <w:trPr>
          <w:trHeight w:val="255"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33 376</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33 376</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66 752</w:t>
            </w:r>
          </w:p>
        </w:tc>
      </w:tr>
      <w:tr>
        <w:trPr>
          <w:trHeight w:val="255"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12.14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34 685</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34 685</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69 370</w:t>
            </w:r>
          </w:p>
        </w:tc>
      </w:tr>
      <w:tr>
        <w:trPr>
          <w:trHeight w:val="255"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01.15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32 107</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32 107</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64 214</w:t>
            </w:r>
          </w:p>
        </w:tc>
      </w:tr>
      <w:tr>
        <w:trPr>
          <w:trHeight w:val="255"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02.15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28 203</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28 203</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56 405</w:t>
            </w:r>
          </w:p>
        </w:tc>
      </w:tr>
      <w:tr>
        <w:trPr>
          <w:trHeight w:val="255"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03.15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32 197</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32 197</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64 395</w:t>
            </w:r>
          </w:p>
        </w:tc>
      </w:tr>
      <w:tr>
        <w:trPr>
          <w:trHeight w:val="255"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04.15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31 894</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31 894</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63 789</w:t>
            </w:r>
          </w:p>
        </w:tc>
      </w:tr>
      <w:tr>
        <w:trPr>
          <w:trHeight w:val="255"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05.15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33 063</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33 063</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66 127</w:t>
            </w:r>
          </w:p>
        </w:tc>
      </w:tr>
      <w:tr>
        <w:trPr>
          <w:trHeight w:val="255"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06.15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26 576</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26 576</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53 152</w:t>
            </w:r>
          </w:p>
        </w:tc>
      </w:tr>
      <w:tr>
        <w:trPr>
          <w:trHeight w:val="255"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07.15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40 970</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40 970</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81 941</w:t>
            </w:r>
          </w:p>
        </w:tc>
      </w:tr>
      <w:tr>
        <w:trPr>
          <w:trHeight w:val="255"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08.15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42 973</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42 973</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85 946</w:t>
            </w:r>
          </w:p>
        </w:tc>
      </w:tr>
      <w:tr>
        <w:trPr>
          <w:trHeight w:val="255"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09.15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45 345</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45 345</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90 689</w:t>
            </w:r>
          </w:p>
        </w:tc>
      </w:tr>
      <w:tr>
        <w:trPr>
          <w:trHeight w:val="255"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48 418</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48 418</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96 837</w:t>
            </w:r>
          </w:p>
        </w:tc>
      </w:tr>
      <w:tr>
        <w:trPr>
          <w:trHeight w:val="255"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49 030</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49 030</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98 059</w:t>
            </w:r>
          </w:p>
        </w:tc>
      </w:tr>
      <w:tr>
        <w:trPr>
          <w:trHeight w:val="255"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12.15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50 179</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50 179</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100 358</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ҚДЖӨҚ - қаржылық делдалдықтың жанама түрде өлшенетін қызметтер, * бағаналарды нөмірлеу осы Әдістеменің 1-қосымшасындағы кестенің бағаналарын нөмірлеудің жалғасы болып табылады.</w:t>
      </w:r>
    </w:p>
    <w:bookmarkStart w:name="z49" w:id="16"/>
    <w:p>
      <w:pPr>
        <w:spacing w:after="0"/>
        <w:ind w:left="0"/>
        <w:jc w:val="both"/>
      </w:pPr>
      <w:r>
        <w:rPr>
          <w:rFonts w:ascii="Times New Roman"/>
          <w:b w:val="false"/>
          <w:i w:val="false"/>
          <w:color w:val="000000"/>
          <w:sz w:val="28"/>
        </w:rPr>
        <w:t xml:space="preserve">
Қаржылық делдалдық қызметтерінің  </w:t>
      </w:r>
      <w:r>
        <w:br/>
      </w:r>
      <w:r>
        <w:rPr>
          <w:rFonts w:ascii="Times New Roman"/>
          <w:b w:val="false"/>
          <w:i w:val="false"/>
          <w:color w:val="000000"/>
          <w:sz w:val="28"/>
        </w:rPr>
        <w:t xml:space="preserve">
шығарылымын есепке алу әдістемесіне </w:t>
      </w:r>
      <w:r>
        <w:br/>
      </w:r>
      <w:r>
        <w:rPr>
          <w:rFonts w:ascii="Times New Roman"/>
          <w:b w:val="false"/>
          <w:i w:val="false"/>
          <w:color w:val="000000"/>
          <w:sz w:val="28"/>
        </w:rPr>
        <w:t xml:space="preserve">
3-қосымша          </w:t>
      </w:r>
    </w:p>
    <w:bookmarkEnd w:id="16"/>
    <w:p>
      <w:pPr>
        <w:spacing w:after="0"/>
        <w:ind w:left="0"/>
        <w:jc w:val="left"/>
      </w:pPr>
      <w:r>
        <w:rPr>
          <w:rFonts w:ascii="Times New Roman"/>
          <w:b/>
          <w:i w:val="false"/>
          <w:color w:val="000000"/>
        </w:rPr>
        <w:t xml:space="preserve"> Экономиканың институционалдық секторлары бөлінісіндегі кредиттер мен депозиттердің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1243"/>
        <w:gridCol w:w="1129"/>
        <w:gridCol w:w="1232"/>
        <w:gridCol w:w="1026"/>
        <w:gridCol w:w="912"/>
        <w:gridCol w:w="1027"/>
        <w:gridCol w:w="1215"/>
        <w:gridCol w:w="1112"/>
        <w:gridCol w:w="1262"/>
        <w:gridCol w:w="1112"/>
        <w:gridCol w:w="941"/>
        <w:gridCol w:w="1027"/>
      </w:tblGrid>
      <w:tr>
        <w:trPr>
          <w:trHeight w:val="255" w:hRule="atLeast"/>
        </w:trPr>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секторлары бойынша кредиттер, млн.теңге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секторлары бойынша кредиттердің құрылымы, %</w:t>
            </w:r>
          </w:p>
        </w:tc>
      </w:tr>
      <w:tr>
        <w:trPr>
          <w:trHeight w:val="255" w:hRule="atLeast"/>
        </w:trPr>
        <w:tc>
          <w:tcPr>
            <w:tcW w:w="0" w:type="auto"/>
            <w:vMerge/>
            <w:tcBorders>
              <w:top w:val="nil"/>
              <w:left w:val="single" w:color="cfcfcf" w:sz="5"/>
              <w:bottom w:val="single" w:color="cfcfcf" w:sz="5"/>
              <w:right w:val="single" w:color="cfcfcf" w:sz="5"/>
            </w:tcBorders>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емес корпорациялар секторы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корпорациялар секторы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 секторы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 секторы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ҮШҚКЕҰ секторы</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тұтастай</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емес корпорациялар секторы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корпорациялар секторы</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 секторы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 секторы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ҮШҚКЕҰ секторы</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тұтастай</w:t>
            </w: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9 244 320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244 763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3 780 843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13 271 466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9 617 293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263 049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4 174 311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14 056 711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9 284 783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2 537 025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4 379 163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16 203 427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1223"/>
        <w:gridCol w:w="1112"/>
        <w:gridCol w:w="1223"/>
        <w:gridCol w:w="1012"/>
        <w:gridCol w:w="901"/>
        <w:gridCol w:w="1012"/>
        <w:gridCol w:w="1201"/>
        <w:gridCol w:w="1101"/>
        <w:gridCol w:w="1242"/>
        <w:gridCol w:w="1101"/>
        <w:gridCol w:w="931"/>
        <w:gridCol w:w="1183"/>
      </w:tblGrid>
      <w:tr>
        <w:trPr>
          <w:trHeight w:val="255" w:hRule="atLeast"/>
        </w:trPr>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секторлары бойынша депозиттер, млн.теңге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секторлары бойынша депозиттердің құрылымы, %</w:t>
            </w:r>
          </w:p>
        </w:tc>
      </w:tr>
      <w:tr>
        <w:trPr>
          <w:trHeight w:val="255" w:hRule="atLeast"/>
        </w:trPr>
        <w:tc>
          <w:tcPr>
            <w:tcW w:w="0" w:type="auto"/>
            <w:vMerge/>
            <w:tcBorders>
              <w:top w:val="nil"/>
              <w:left w:val="single" w:color="cfcfcf" w:sz="5"/>
              <w:bottom w:val="single" w:color="cfcfcf" w:sz="5"/>
              <w:right w:val="single" w:color="cfcfcf" w:sz="5"/>
            </w:tcBorders>
          </w:tcP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емес корпорациялар секторы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корпорациялар секторы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 секторы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 секторы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ҮШҚКЕҰ секторы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тұтастай</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емес корпорациялар секторы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корпорациялар секторы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 секторы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 секторы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ҮШҚКЕҰ секторы</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тұтастай</w:t>
            </w:r>
          </w:p>
        </w:tc>
      </w:tr>
      <w:tr>
        <w:trPr>
          <w:trHeight w:val="2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4 727 907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794 047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3 905 141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411 755</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9 838 958</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4 985 361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1 247 314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4 397 476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503 348</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11 133 710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6 195 239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1 556 554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6 792 709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932 379</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15 477 789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ҮШҚКЕҰ - үй шаруашылықтарына қызмет көрсететін коммерциялық емес ұйымдар.</w:t>
      </w:r>
    </w:p>
    <w:bookmarkStart w:name="z50" w:id="17"/>
    <w:p>
      <w:pPr>
        <w:spacing w:after="0"/>
        <w:ind w:left="0"/>
        <w:jc w:val="both"/>
      </w:pPr>
      <w:r>
        <w:rPr>
          <w:rFonts w:ascii="Times New Roman"/>
          <w:b w:val="false"/>
          <w:i w:val="false"/>
          <w:color w:val="000000"/>
          <w:sz w:val="28"/>
        </w:rPr>
        <w:t xml:space="preserve">
Қаржылық делдалдық қызметтерінің  </w:t>
      </w:r>
      <w:r>
        <w:br/>
      </w:r>
      <w:r>
        <w:rPr>
          <w:rFonts w:ascii="Times New Roman"/>
          <w:b w:val="false"/>
          <w:i w:val="false"/>
          <w:color w:val="000000"/>
          <w:sz w:val="28"/>
        </w:rPr>
        <w:t xml:space="preserve">
шығарылымын есепке алу әдістемесіне </w:t>
      </w:r>
      <w:r>
        <w:br/>
      </w:r>
      <w:r>
        <w:rPr>
          <w:rFonts w:ascii="Times New Roman"/>
          <w:b w:val="false"/>
          <w:i w:val="false"/>
          <w:color w:val="000000"/>
          <w:sz w:val="28"/>
        </w:rPr>
        <w:t xml:space="preserve">
4-қосымша             </w:t>
      </w:r>
    </w:p>
    <w:bookmarkEnd w:id="17"/>
    <w:p>
      <w:pPr>
        <w:spacing w:after="0"/>
        <w:ind w:left="0"/>
        <w:jc w:val="left"/>
      </w:pPr>
      <w:r>
        <w:rPr>
          <w:rFonts w:ascii="Times New Roman"/>
          <w:b/>
          <w:i w:val="false"/>
          <w:color w:val="000000"/>
        </w:rPr>
        <w:t xml:space="preserve"> Экономика секторлары бойынша қаржылық делдалдықтың жанама түрде өлшенетін қызметтерінің шығарылымын бөлу нәтижесі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3"/>
        <w:gridCol w:w="1505"/>
        <w:gridCol w:w="1354"/>
        <w:gridCol w:w="1656"/>
        <w:gridCol w:w="1204"/>
        <w:gridCol w:w="1355"/>
        <w:gridCol w:w="1505"/>
        <w:gridCol w:w="1957"/>
        <w:gridCol w:w="1054"/>
        <w:gridCol w:w="1507"/>
      </w:tblGrid>
      <w:tr>
        <w:trPr>
          <w:trHeight w:val="255" w:hRule="atLeast"/>
        </w:trPr>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Секторлар (несиелер + депозиттер) бойынша ҚДЖӨҚ, млн.теңге</w:t>
            </w:r>
          </w:p>
        </w:tc>
      </w:tr>
      <w:tr>
        <w:trPr>
          <w:trHeight w:val="255" w:hRule="atLeast"/>
        </w:trPr>
        <w:tc>
          <w:tcPr>
            <w:tcW w:w="0" w:type="auto"/>
            <w:vMerge/>
            <w:tcBorders>
              <w:top w:val="nil"/>
              <w:left w:val="single" w:color="cfcfcf" w:sz="5"/>
              <w:bottom w:val="single" w:color="cfcfcf" w:sz="5"/>
              <w:right w:val="single" w:color="cfcfcf" w:sz="5"/>
            </w:tcBorders>
          </w:tcP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емес корпорациялар секторы</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корпорациялар секторы</w:t>
            </w:r>
          </w:p>
        </w:tc>
        <w:tc>
          <w:tcPr>
            <w:tcW w:w="1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 секторы</w:t>
            </w: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 секторы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w:t>
            </w:r>
          </w:p>
        </w:tc>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ҮШҚКЕҰ секторы</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тұтастай</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иелері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корпорацияланбаған кәсіпорындар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368 615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31 049</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213 509</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55 365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124 318</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33 826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13 140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626 318</w:t>
            </w:r>
          </w:p>
        </w:tc>
      </w:tr>
      <w:tr>
        <w:trPr>
          <w:trHeight w:val="25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411 577</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47 538</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251 586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59 768</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155 598</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36 220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16 488</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727 200</w:t>
            </w:r>
          </w:p>
        </w:tc>
      </w:tr>
      <w:tr>
        <w:trPr>
          <w:trHeight w:val="25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448 639</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118 530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326 877</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76 895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195 355</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54 627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27 829</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921 911</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ҚДЖӨҚ - қаржылық делдалдықтың жанама түрде өлшенетін қызметтер, ҮШҚКЕҰ - үй шаруашылықтарына қызмет көрсететін коммерциялық емес ұйымдар.</w:t>
      </w:r>
    </w:p>
    <w:bookmarkStart w:name="z51" w:id="18"/>
    <w:p>
      <w:pPr>
        <w:spacing w:after="0"/>
        <w:ind w:left="0"/>
        <w:jc w:val="both"/>
      </w:pPr>
      <w:r>
        <w:rPr>
          <w:rFonts w:ascii="Times New Roman"/>
          <w:b w:val="false"/>
          <w:i w:val="false"/>
          <w:color w:val="000000"/>
          <w:sz w:val="28"/>
        </w:rPr>
        <w:t xml:space="preserve">
Қаржылық делдалдық қызметтерінің  </w:t>
      </w:r>
      <w:r>
        <w:br/>
      </w:r>
      <w:r>
        <w:rPr>
          <w:rFonts w:ascii="Times New Roman"/>
          <w:b w:val="false"/>
          <w:i w:val="false"/>
          <w:color w:val="000000"/>
          <w:sz w:val="28"/>
        </w:rPr>
        <w:t xml:space="preserve">
шығарылымын есепке алу әдістемесіне </w:t>
      </w:r>
      <w:r>
        <w:br/>
      </w:r>
      <w:r>
        <w:rPr>
          <w:rFonts w:ascii="Times New Roman"/>
          <w:b w:val="false"/>
          <w:i w:val="false"/>
          <w:color w:val="000000"/>
          <w:sz w:val="28"/>
        </w:rPr>
        <w:t xml:space="preserve">
5-қосымша              </w:t>
      </w:r>
    </w:p>
    <w:bookmarkEnd w:id="18"/>
    <w:p>
      <w:pPr>
        <w:spacing w:after="0"/>
        <w:ind w:left="0"/>
        <w:jc w:val="left"/>
      </w:pPr>
      <w:r>
        <w:rPr>
          <w:rFonts w:ascii="Times New Roman"/>
          <w:b/>
          <w:i w:val="false"/>
          <w:color w:val="000000"/>
        </w:rPr>
        <w:t xml:space="preserve"> Аралық тұтынуға қаржылық емес сектордың қаржылық делдалдықтың жанама түрде өлшенетін қызметтерінің шығарылымын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3"/>
        <w:gridCol w:w="1155"/>
        <w:gridCol w:w="1155"/>
        <w:gridCol w:w="1155"/>
        <w:gridCol w:w="989"/>
        <w:gridCol w:w="989"/>
        <w:gridCol w:w="989"/>
        <w:gridCol w:w="1215"/>
        <w:gridCol w:w="1215"/>
        <w:gridCol w:w="1215"/>
      </w:tblGrid>
      <w:tr>
        <w:trPr>
          <w:trHeight w:val="270" w:hRule="atLeast"/>
        </w:trPr>
        <w:tc>
          <w:tcPr>
            <w:tcW w:w="3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Банктердің кредиттері, кезең соңына, млн.теңге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Кредиттер құрылымы,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емес сектордың ҚДЖӨҚ, млн.теңге</w:t>
            </w:r>
          </w:p>
        </w:tc>
      </w:tr>
      <w:tr>
        <w:trPr>
          <w:trHeight w:val="270" w:hRule="atLeast"/>
        </w:trPr>
        <w:tc>
          <w:tcPr>
            <w:tcW w:w="0" w:type="auto"/>
            <w:vMerge/>
            <w:tcBorders>
              <w:top w:val="nil"/>
              <w:left w:val="single" w:color="cfcfcf" w:sz="5"/>
              <w:bottom w:val="single" w:color="cfcfcf" w:sz="5"/>
              <w:right w:val="single" w:color="cfcfcf" w:sz="5"/>
            </w:tcBorders>
          </w:tcP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135" w:hRule="atLeast"/>
        </w:trPr>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салалары бойынша барлығы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11 291 548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12 105 684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12 674 245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368 615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411 577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448 639</w:t>
            </w:r>
          </w:p>
        </w:tc>
      </w:tr>
      <w:tr>
        <w:trPr>
          <w:trHeight w:val="165" w:hRule="atLeast"/>
        </w:trPr>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1 282 613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1 369 226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1 698 638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65 083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73 509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91 898</w:t>
            </w:r>
          </w:p>
        </w:tc>
      </w:tr>
      <w:tr>
        <w:trPr>
          <w:trHeight w:val="195" w:hRule="atLeast"/>
        </w:trPr>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соның ішінде:</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Кен өндіру өнеркәсібі және карьерлерді қазу</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309 262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298 631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456 300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15 693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16 033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24 686</w:t>
            </w:r>
          </w:p>
        </w:tc>
      </w:tr>
      <w:tr>
        <w:trPr>
          <w:trHeight w:val="135" w:hRule="atLeast"/>
        </w:trPr>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Өңдеу өнеркәсібі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876 452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948 894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1 037 772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44 473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50 943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56 144</w:t>
            </w:r>
          </w:p>
        </w:tc>
      </w:tr>
      <w:tr>
        <w:trPr>
          <w:trHeight w:val="180" w:hRule="atLeast"/>
        </w:trPr>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соның ішінде:</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Сусындар мен темекі өнімдерін қоса алғанда тамақ өнімдерін өндіру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334 297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341 134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306 635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16 963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18 314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16 589</w:t>
            </w:r>
          </w:p>
        </w:tc>
      </w:tr>
      <w:tr>
        <w:trPr>
          <w:trHeight w:val="165" w:hRule="atLeast"/>
        </w:trPr>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одан:</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Сусындарды қоса алғанда тамақ өнімдерін өндіру</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334 259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332 525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306 635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16 961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17 852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16 589</w:t>
            </w:r>
          </w:p>
        </w:tc>
      </w:tr>
      <w:tr>
        <w:trPr>
          <w:trHeight w:val="90" w:hRule="atLeast"/>
        </w:trPr>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бұйымдарын және киім өндіру</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26 993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18 329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r>
      <w:tr>
        <w:trPr>
          <w:trHeight w:val="255" w:hRule="atLeast"/>
        </w:trPr>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Былғары және оған жататын өнімдерді өндіру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1 379</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465" w:hRule="atLeast"/>
        </w:trPr>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Жиһаздан басқа ағаштан және тоздан жасалған бұйымдарды өндіру; сабаннан және өруге арналған материалдан жасалған бұйымдар өндіру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r>
        <w:trPr>
          <w:trHeight w:val="240" w:hRule="atLeast"/>
        </w:trPr>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Қағаз және қағаздан жасалған өнімдер өндіру; жазылған материалдарды басып шығару және жаңғырту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20 975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25 466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37 335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2 020</w:t>
            </w:r>
          </w:p>
        </w:tc>
      </w:tr>
      <w:tr>
        <w:trPr>
          <w:trHeight w:val="105" w:hRule="atLeast"/>
        </w:trPr>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Кокс және мұнай өңдеу өнімдерін өндіру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29 405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50 196</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2 716</w:t>
            </w:r>
          </w:p>
        </w:tc>
      </w:tr>
      <w:tr>
        <w:trPr>
          <w:trHeight w:val="510" w:hRule="atLeast"/>
        </w:trPr>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өнеркәсіп өнімдерін өндіру;</w:t>
            </w:r>
            <w:r>
              <w:br/>
            </w:r>
            <w:r>
              <w:rPr>
                <w:rFonts w:ascii="Times New Roman"/>
                <w:b w:val="false"/>
                <w:i w:val="false"/>
                <w:color w:val="000000"/>
                <w:sz w:val="20"/>
              </w:rPr>
              <w:t>
негізгі фармацевтикалық өнімдерді өндіру</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63 540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79 342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71 569</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3 872</w:t>
            </w:r>
          </w:p>
        </w:tc>
      </w:tr>
      <w:tr>
        <w:trPr>
          <w:trHeight w:val="150" w:hRule="atLeast"/>
        </w:trPr>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және пластмасса бұйымдарын өндіру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18 468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28 702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28 928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w:t>
            </w:r>
          </w:p>
        </w:tc>
      </w:tr>
      <w:tr>
        <w:trPr>
          <w:trHeight w:val="330" w:hRule="atLeast"/>
        </w:trPr>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металл емес минералдық өнімдерді өндіру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138 930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153 612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163 033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8 820</w:t>
            </w:r>
          </w:p>
        </w:tc>
      </w:tr>
      <w:tr>
        <w:trPr>
          <w:trHeight w:val="570" w:hRule="atLeast"/>
        </w:trPr>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 өнеркәсібі; машиналар мен жабдықтардан басқа дайын металл бұйымдарын жасау</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109 470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132 799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194 260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10 510</w:t>
            </w:r>
          </w:p>
        </w:tc>
      </w:tr>
      <w:tr>
        <w:trPr>
          <w:trHeight w:val="435" w:hRule="atLeast"/>
        </w:trPr>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санаттарға кіргізілмеген машиналар мен жабдықтар жасау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30 361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33 149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30 104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1 629</w:t>
            </w:r>
          </w:p>
        </w:tc>
      </w:tr>
      <w:tr>
        <w:trPr>
          <w:trHeight w:val="405" w:hRule="atLeast"/>
        </w:trPr>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Компьютерлер, электрондық және оптикалық бұйымдарды жасау; электр жабдықтарын жасау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31 687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42 362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45 242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2 448</w:t>
            </w:r>
          </w:p>
        </w:tc>
      </w:tr>
      <w:tr>
        <w:trPr>
          <w:trHeight w:val="540" w:hRule="atLeast"/>
        </w:trPr>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 құралдарын, трейлерлер және жартылай тіркемелер жасау; өзге де көлік құралдарын жасау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25 031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27 824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50 036</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2 707</w:t>
            </w:r>
          </w:p>
        </w:tc>
      </w:tr>
      <w:tr>
        <w:trPr>
          <w:trHeight w:val="150" w:hRule="atLeast"/>
        </w:trPr>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Өңдеу өнеркәсібінің өзге де салалары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33 329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36 737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43 942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2 377</w:t>
            </w:r>
          </w:p>
        </w:tc>
      </w:tr>
      <w:tr>
        <w:trPr>
          <w:trHeight w:val="150" w:hRule="atLeast"/>
        </w:trPr>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Өнеркәсіптің өзге де салалары</w:t>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96 899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121 701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204 566</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4 917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6 534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11 067</w:t>
            </w:r>
          </w:p>
        </w:tc>
      </w:tr>
      <w:tr>
        <w:trPr>
          <w:trHeight w:val="180" w:hRule="atLeast"/>
        </w:trPr>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орман және балық шаруашылығы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375 431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485 002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653 643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19 050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26 038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35 363</w:t>
            </w:r>
          </w:p>
        </w:tc>
      </w:tr>
      <w:tr>
        <w:trPr>
          <w:trHeight w:val="450" w:hRule="atLeast"/>
        </w:trPr>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және мал шаруашылығы, аңшылық және осы салаларда қызметтер ұсыну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373 921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483 328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651 655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18 974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25 948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35 255</w:t>
            </w:r>
          </w:p>
        </w:tc>
      </w:tr>
      <w:tr>
        <w:trPr>
          <w:trHeight w:val="90" w:hRule="atLeast"/>
        </w:trPr>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шаруашылығы және ағаш дайындау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135" w:hRule="atLeast"/>
        </w:trPr>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шаруашылығы және аквадақыл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1 286</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165" w:hRule="atLeast"/>
        </w:trPr>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1 383 302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1 143 174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991 740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70 192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61 373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53 654</w:t>
            </w:r>
          </w:p>
        </w:tc>
      </w:tr>
      <w:tr>
        <w:trPr>
          <w:trHeight w:val="75" w:hRule="atLeast"/>
        </w:trPr>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қоймалау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395 590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434 385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609 183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20 073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23 321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32 957</w:t>
            </w:r>
          </w:p>
        </w:tc>
      </w:tr>
      <w:tr>
        <w:trPr>
          <w:trHeight w:val="120" w:hRule="atLeast"/>
        </w:trPr>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соның ішінде:</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Құрлық көлігі және құбырмен тасымалдау</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98 919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92 821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91 105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4 929</w:t>
            </w:r>
          </w:p>
        </w:tc>
      </w:tr>
      <w:tr>
        <w:trPr>
          <w:trHeight w:val="120" w:hRule="atLeast"/>
        </w:trPr>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24 897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28 429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32 614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1 764</w:t>
            </w:r>
          </w:p>
        </w:tc>
      </w:tr>
      <w:tr>
        <w:trPr>
          <w:trHeight w:val="180" w:hRule="atLeast"/>
        </w:trPr>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24 721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18 722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40 454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2 189</w:t>
            </w:r>
          </w:p>
        </w:tc>
      </w:tr>
      <w:tr>
        <w:trPr>
          <w:trHeight w:val="510" w:hRule="atLeast"/>
        </w:trPr>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Қойма шаруашылығы және қосалқы көлік қызметі; почталық және курьерлік қызмет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247 054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294 413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445 010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24 075</w:t>
            </w:r>
          </w:p>
        </w:tc>
      </w:tr>
      <w:tr>
        <w:trPr>
          <w:trHeight w:val="225" w:hRule="atLeast"/>
        </w:trPr>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және байланыс</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89 929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96 925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136 715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7 396</w:t>
            </w:r>
          </w:p>
        </w:tc>
      </w:tr>
      <w:tr>
        <w:trPr>
          <w:trHeight w:val="285" w:hRule="atLeast"/>
        </w:trPr>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және бөлшек сауда; автомобильдерді және мотоциклдерді жөндеу</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2 207 340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2 419 861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2 645 676</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129 914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143 134</w:t>
            </w:r>
          </w:p>
        </w:tc>
      </w:tr>
      <w:tr>
        <w:trPr>
          <w:trHeight w:val="75" w:hRule="atLeast"/>
        </w:trPr>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салалар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1 530 198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1 717 692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1 557 031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77 646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92 217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84 237</w:t>
            </w:r>
          </w:p>
        </w:tc>
      </w:tr>
      <w:tr>
        <w:trPr>
          <w:trHeight w:val="270" w:hRule="atLeast"/>
        </w:trPr>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 (өндірістік емес сала, жеке қызмет)</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4 027 146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4 439 419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4 381 619</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ҚДЖӨҚ - қаржылық делдалдықтың жанама түрде өлшенетін қызметтер</w:t>
      </w:r>
    </w:p>
    <w:bookmarkStart w:name="z52" w:id="19"/>
    <w:p>
      <w:pPr>
        <w:spacing w:after="0"/>
        <w:ind w:left="0"/>
        <w:jc w:val="both"/>
      </w:pPr>
      <w:r>
        <w:rPr>
          <w:rFonts w:ascii="Times New Roman"/>
          <w:b w:val="false"/>
          <w:i w:val="false"/>
          <w:color w:val="000000"/>
          <w:sz w:val="28"/>
        </w:rPr>
        <w:t xml:space="preserve">
Қаржылық делдалдық қызметтерінің  </w:t>
      </w:r>
      <w:r>
        <w:br/>
      </w:r>
      <w:r>
        <w:rPr>
          <w:rFonts w:ascii="Times New Roman"/>
          <w:b w:val="false"/>
          <w:i w:val="false"/>
          <w:color w:val="000000"/>
          <w:sz w:val="28"/>
        </w:rPr>
        <w:t xml:space="preserve">
шығарылымын есепке алу әдістемесіне </w:t>
      </w:r>
      <w:r>
        <w:br/>
      </w:r>
      <w:r>
        <w:rPr>
          <w:rFonts w:ascii="Times New Roman"/>
          <w:b w:val="false"/>
          <w:i w:val="false"/>
          <w:color w:val="000000"/>
          <w:sz w:val="28"/>
        </w:rPr>
        <w:t xml:space="preserve">
6-қосымша            </w:t>
      </w:r>
    </w:p>
    <w:bookmarkEnd w:id="19"/>
    <w:p>
      <w:pPr>
        <w:spacing w:after="0"/>
        <w:ind w:left="0"/>
        <w:jc w:val="left"/>
      </w:pPr>
      <w:r>
        <w:rPr>
          <w:rFonts w:ascii="Times New Roman"/>
          <w:b/>
          <w:i w:val="false"/>
          <w:color w:val="000000"/>
        </w:rPr>
        <w:t xml:space="preserve"> Қаржылық делдалдықтың жанама түрде өлшенетін қызметтерінің экспортын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860"/>
        <w:gridCol w:w="897"/>
        <w:gridCol w:w="853"/>
        <w:gridCol w:w="790"/>
        <w:gridCol w:w="1047"/>
        <w:gridCol w:w="1173"/>
        <w:gridCol w:w="1209"/>
        <w:gridCol w:w="2068"/>
        <w:gridCol w:w="1482"/>
        <w:gridCol w:w="1562"/>
        <w:gridCol w:w="1288"/>
      </w:tblGrid>
      <w:tr>
        <w:trPr>
          <w:trHeight w:val="255" w:hRule="atLeast"/>
        </w:trPr>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алғанда кезеңдегі қалдықтары, млн.теңге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Пайыздың мөлшерлемелері, %</w:t>
            </w: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 барлығы, млн.теңге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Салмақтары, %</w:t>
            </w:r>
          </w:p>
        </w:tc>
        <w:tc>
          <w:tcPr>
            <w:tcW w:w="2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Пайыздың базистік мөлшерлемесі,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ҚДЖӨҚ, млн.теңге</w:t>
            </w:r>
          </w:p>
        </w:tc>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ҚДЖӨҚ барлығы, млн.теңге</w:t>
            </w:r>
          </w:p>
        </w:tc>
      </w:tr>
      <w:tr>
        <w:trPr>
          <w:trHeight w:val="345" w:hRule="atLeast"/>
        </w:trPr>
        <w:tc>
          <w:tcPr>
            <w:tcW w:w="0" w:type="auto"/>
            <w:vMerge/>
            <w:tcBorders>
              <w:top w:val="nil"/>
              <w:left w:val="single" w:color="cfcfcf" w:sz="5"/>
              <w:bottom w:val="single" w:color="cfcfcf" w:sz="5"/>
              <w:right w:val="single" w:color="cfcfcf" w:sz="5"/>
            </w:tcBorders>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кредиттердің</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депозиттердің</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кредиттер бойынша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депозиттер бойынша</w:t>
            </w: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кредиттердің</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депозиттердің</w:t>
            </w:r>
          </w:p>
        </w:tc>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кредиттер бойынша</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депозиттер бойынша</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8=(3*6+4*7)/100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9=(3-8)%*1</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11=9+10</w:t>
            </w:r>
          </w:p>
        </w:tc>
      </w:tr>
      <w:tr>
        <w:trPr>
          <w:trHeight w:val="25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1 763 409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245 342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2 008 751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13 227</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13 227</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26 454</w:t>
            </w:r>
          </w:p>
        </w:tc>
      </w:tr>
      <w:tr>
        <w:trPr>
          <w:trHeight w:val="25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2 164 877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305 863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2 470 740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16 465</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16 465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32 931</w:t>
            </w:r>
          </w:p>
        </w:tc>
      </w:tr>
      <w:tr>
        <w:trPr>
          <w:trHeight w:val="25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777 756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229 603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1 007 359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13 387</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13 387</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26 773</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ҚДЖӨҚ - қаржылық делдалдықтың жанама түрде өлшенетін қызметтер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