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3839" w14:textId="3fb3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аралас "өзен-теңіз" суларында жүзетін кемелерді сыныптау қағидасын бекіту туралы" Қазақстан Республикасы Көлік және коммуникация министрінің міндетін атқарушының 2011 жылғы 21 сәуірдегі № 213 бұйрығына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31 мамырдағы № 458 бұйрығы. Қазақстан Республикасының Әділет министрлігінде 2016 жылы 30 маусымда № 13854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«Ішкі және аралас «өзен-теңіз» суларында жүзетін кемелерді сыныптау қағидасын бекіту туралы» Қазақстан Республикасы Көлік және коммуникация министрінің міндетін атқарушының 2011 жылғы 21 сәуірдегі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6969 нөмірімен тіркелген, 2011 жылғы 22 маусымдағы № 87 (2077) «Заң газетінде»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Ішкі және аралас «өзен-теңіз» суларында жүзетін кемелерді сыныптау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45-1-тармақпен толықтырылсын:</w:t>
      </w:r>
      <w:r>
        <w:br/>
      </w:r>
      <w:r>
        <w:rPr>
          <w:rFonts w:ascii="Times New Roman"/>
          <w:b w:val="false"/>
          <w:i w:val="false"/>
          <w:color w:val="000000"/>
          <w:sz w:val="28"/>
        </w:rPr>
        <w:t>
</w:t>
      </w:r>
      <w:r>
        <w:rPr>
          <w:rFonts w:ascii="Times New Roman"/>
          <w:b w:val="false"/>
          <w:i w:val="false"/>
          <w:color w:val="000000"/>
          <w:sz w:val="28"/>
        </w:rPr>
        <w:t>
      «45-1. Формуляр әр кемеге жеке жүргізіледі және кемеге берілген актілер мен куәліктердің көшірмелерінен тұрады.</w:t>
      </w:r>
      <w:r>
        <w:br/>
      </w:r>
      <w:r>
        <w:rPr>
          <w:rFonts w:ascii="Times New Roman"/>
          <w:b w:val="false"/>
          <w:i w:val="false"/>
          <w:color w:val="000000"/>
          <w:sz w:val="28"/>
        </w:rPr>
        <w:t>
</w:t>
      </w:r>
      <w:r>
        <w:rPr>
          <w:rFonts w:ascii="Times New Roman"/>
          <w:b w:val="false"/>
          <w:i w:val="false"/>
          <w:color w:val="000000"/>
          <w:sz w:val="28"/>
        </w:rPr>
        <w:t>
      Формулярдың сыртқы бетінде титул парағы жабыстырылады.».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осы тармағының 1), 2) және 3) тармақшаларында көзделген іс-шаралардың орындалуы туралы мәлiметтердi ұсынуды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вице министрге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