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25ca" w14:textId="ce02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ақпараттық жүйелерін және сервистік бағдарламалық өнімдерді құру немесе дамыту кезінде стандартты шешімдер ретінде көп рет пайдалануға жататын ақпараттық жүйелердің (немесе олардың бөліктерінің)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125 бұйрығы. Қазақстан Республикасының Әділет министрлігінде 2016 жылы 29 ақпанда № 13325 болып тіркелді. Күші жойылды - Қазақстан Республикасының Цифрлық даму, инновациялар және аэроғарыш өнеркәсібі министрінің 2019 жылғы 29 маусымдағы № 145/НҚ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29.06.2019 </w:t>
      </w:r>
      <w:r>
        <w:rPr>
          <w:rFonts w:ascii="Times New Roman"/>
          <w:b w:val="false"/>
          <w:i w:val="false"/>
          <w:color w:val="ff0000"/>
          <w:sz w:val="28"/>
        </w:rPr>
        <w:t>№ 145/НҚ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Ақпарат және коммуникациялар министрінің 02.03.2018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w:t>
      </w:r>
      <w:r>
        <w:rPr>
          <w:rFonts w:ascii="Times New Roman"/>
          <w:b w:val="false"/>
          <w:i w:val="false"/>
          <w:color w:val="000000"/>
          <w:sz w:val="28"/>
        </w:rPr>
        <w:t xml:space="preserve"> 54)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ақпараттық жүйелерін құру және дамыту кезінде стандартты шешімдер ретінде көп рет пайдалануға жататын ақпараттық жүйелердің (немесе олардың бөліктерінің)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жүйесіне ресми жариялауға жіберуді,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интернет-ресурсына және мемлекеттік органдардың интранет-порталына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2016 жылғы 28 қаңтардағы </w:t>
            </w:r>
            <w:r>
              <w:br/>
            </w:r>
            <w:r>
              <w:rPr>
                <w:rFonts w:ascii="Times New Roman"/>
                <w:b w:val="false"/>
                <w:i w:val="false"/>
                <w:color w:val="000000"/>
                <w:sz w:val="20"/>
              </w:rPr>
              <w:t>№ 125 бұйрығымен бекітілген</w:t>
            </w:r>
          </w:p>
        </w:tc>
      </w:tr>
    </w:tbl>
    <w:bookmarkStart w:name="z12" w:id="9"/>
    <w:p>
      <w:pPr>
        <w:spacing w:after="0"/>
        <w:ind w:left="0"/>
        <w:jc w:val="left"/>
      </w:pPr>
      <w:r>
        <w:rPr>
          <w:rFonts w:ascii="Times New Roman"/>
          <w:b/>
          <w:i w:val="false"/>
          <w:color w:val="000000"/>
        </w:rPr>
        <w:t xml:space="preserve"> Мемлекеттік органдардың ақпараттық жүйелерін және сервистік бағдарламалық өнімдерді құру немесе дамыту кезінде стандартты шешімдер ретінде көп рет пайдалануға жататын ақпараттық жүйелердің (немесе олардың бөліктерінің)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Ақпарат және коммуникациялар министрінің 02.03.2018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234"/>
        <w:gridCol w:w="9283"/>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бірдейлестіру сервисі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пайдаланушыларын басқару функциясы, қол жеткізу құқығын бөліп беру, каталог қызметіне қол жеткізу үшін жеңіл салмақты хаттама негізінде каталогпен ықпалдасу, олардың бірінен бірдейлестіру және шығу кезінде түрлі ақпараттық жүйелерден бір уақытта бірыңғай бірдейлестіруді және шығуды іске асыратын сервис.</w:t>
            </w:r>
            <w:r>
              <w:br/>
            </w:r>
            <w:r>
              <w:rPr>
                <w:rFonts w:ascii="Times New Roman"/>
                <w:b w:val="false"/>
                <w:i w:val="false"/>
                <w:color w:val="000000"/>
                <w:sz w:val="20"/>
              </w:rPr>
              <w:t>
"Бірыңғай бірдейлестіру сервисі" ақпараттық жүйесінің бір бөлігі келесі функционалдық компоненттерден тұрады:</w:t>
            </w:r>
            <w:r>
              <w:br/>
            </w:r>
            <w:r>
              <w:rPr>
                <w:rFonts w:ascii="Times New Roman"/>
                <w:b w:val="false"/>
                <w:i w:val="false"/>
                <w:color w:val="000000"/>
                <w:sz w:val="20"/>
              </w:rPr>
              <w:t>
1) бірыңғай бірдейлестіру – бір ақпараттық жүйеден басқасына қайталап бірдейлестіруді енгізбестен өтуді қамтамасыз ету сервисі;</w:t>
            </w:r>
            <w:r>
              <w:br/>
            </w:r>
            <w:r>
              <w:rPr>
                <w:rFonts w:ascii="Times New Roman"/>
                <w:b w:val="false"/>
                <w:i w:val="false"/>
                <w:color w:val="000000"/>
                <w:sz w:val="20"/>
              </w:rPr>
              <w:t>
2) жүйе пайдаланушыларын басқару – ақпараттық жүйе пайдаланушыларын қосу, өзгерту және жою сервисі;</w:t>
            </w:r>
            <w:r>
              <w:br/>
            </w:r>
            <w:r>
              <w:rPr>
                <w:rFonts w:ascii="Times New Roman"/>
                <w:b w:val="false"/>
                <w:i w:val="false"/>
                <w:color w:val="000000"/>
                <w:sz w:val="20"/>
              </w:rPr>
              <w:t>
3) пайдаланушыларға қол жеткізу құқығын бөліп тарату – әкімшінің рөлдеріне сәйкес пайдаланушыларға қол жеткізу құқығын бөліп тарату сервисі;</w:t>
            </w:r>
            <w:r>
              <w:br/>
            </w:r>
            <w:r>
              <w:rPr>
                <w:rFonts w:ascii="Times New Roman"/>
                <w:b w:val="false"/>
                <w:i w:val="false"/>
                <w:color w:val="000000"/>
                <w:sz w:val="20"/>
              </w:rPr>
              <w:t xml:space="preserve">
4) каталог қызметіне қол жеткізу үшін жеңіл салмақты хаттама негізінде каталогпен ықпалдасу – пайдаланушылардың есептік жазбалары және қызметтің баптаулары сақталатын каталог қызметіне қол жеткізу үшін жеңіл салмақты хаттама негізінде каталогпен ықпалдасу сервисі.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қолтаңбаны басу және тексеру сервисі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пайдалана отырып, құжатқа бірыңғай қол қоюды жүзеге асыратын және қол қойылған құжатты тексеретін сервис.</w:t>
            </w:r>
            <w:r>
              <w:br/>
            </w:r>
            <w:r>
              <w:rPr>
                <w:rFonts w:ascii="Times New Roman"/>
                <w:b w:val="false"/>
                <w:i w:val="false"/>
                <w:color w:val="000000"/>
                <w:sz w:val="20"/>
              </w:rPr>
              <w:t>
"Электрондық цифрлық қолтаңбаны басу және тексеру сервисі" ақпараттық жүйесінің бір бөлігі келесі функционалдық компоненттерден тұрады:</w:t>
            </w:r>
            <w:r>
              <w:br/>
            </w:r>
            <w:r>
              <w:rPr>
                <w:rFonts w:ascii="Times New Roman"/>
                <w:b w:val="false"/>
                <w:i w:val="false"/>
                <w:color w:val="000000"/>
                <w:sz w:val="20"/>
              </w:rPr>
              <w:t>
1) Ұлттық куәландырушы орталықтың электрондық цифрлық қолтаңбасын басу сервисі – Ұлттық куәландырушы орталықтың электрондық цифрлық қолтаңбасымен құжатқа қол қою сервисі;</w:t>
            </w:r>
            <w:r>
              <w:br/>
            </w:r>
            <w:r>
              <w:rPr>
                <w:rFonts w:ascii="Times New Roman"/>
                <w:b w:val="false"/>
                <w:i w:val="false"/>
                <w:color w:val="000000"/>
                <w:sz w:val="20"/>
              </w:rPr>
              <w:t>
2) Ұлттық куәландырушы орталықтың электрондық цифрлық қолтаңбасын тексеру сервисі – Ұлттық куәландырушы орталықтың электрондық цифрлық қолтаңбасын тексеру сервисі;</w:t>
            </w:r>
            <w:r>
              <w:br/>
            </w:r>
            <w:r>
              <w:rPr>
                <w:rFonts w:ascii="Times New Roman"/>
                <w:b w:val="false"/>
                <w:i w:val="false"/>
                <w:color w:val="000000"/>
                <w:sz w:val="20"/>
              </w:rPr>
              <w:t xml:space="preserve">
3) Мемлекеттік органдарды куәландырушы орталықтың электрондық цифрлық қолтаңбасын басу сервисі – Мемлекеттік органдарды куәландырушы орталықтың электрондық цифрлық қолтаңбасын пайдалана отырып, құжатқа қол қою сервисі; </w:t>
            </w:r>
            <w:r>
              <w:br/>
            </w:r>
            <w:r>
              <w:rPr>
                <w:rFonts w:ascii="Times New Roman"/>
                <w:b w:val="false"/>
                <w:i w:val="false"/>
                <w:color w:val="000000"/>
                <w:sz w:val="20"/>
              </w:rPr>
              <w:t xml:space="preserve">
4) Мемлекеттік органдарды куәландырушы орталықтың электрондық цифрлық қолтаңбасын тексеру сервисі – мемлекеттік органдарды куәландырушы орталықтың электрондық цифрлық қолтаңбасын тексеру сервисі; </w:t>
            </w:r>
            <w:r>
              <w:br/>
            </w:r>
            <w:r>
              <w:rPr>
                <w:rFonts w:ascii="Times New Roman"/>
                <w:b w:val="false"/>
                <w:i w:val="false"/>
                <w:color w:val="000000"/>
                <w:sz w:val="20"/>
              </w:rPr>
              <w:t xml:space="preserve">
5) жүйені тіркеу.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жұмысын мониторингтеу</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жұмысының басты көрсеткіштерін мониторингтеу функциясын жүзеге асыратын сервис.</w:t>
            </w:r>
            <w:r>
              <w:br/>
            </w:r>
            <w:r>
              <w:rPr>
                <w:rFonts w:ascii="Times New Roman"/>
                <w:b w:val="false"/>
                <w:i w:val="false"/>
                <w:color w:val="000000"/>
                <w:sz w:val="20"/>
              </w:rPr>
              <w:t>
"Ақпараттық жүйе жұмысын мониторингтеу" ақпараттық жүйесінің бір бөлігі келесі функционалдық компоненттерден тұрады:</w:t>
            </w:r>
            <w:r>
              <w:br/>
            </w:r>
            <w:r>
              <w:rPr>
                <w:rFonts w:ascii="Times New Roman"/>
                <w:b w:val="false"/>
                <w:i w:val="false"/>
                <w:color w:val="000000"/>
                <w:sz w:val="20"/>
              </w:rPr>
              <w:t>
1) пайдаланушыларды қосу статистикасы – пайдаланушыларды қосу статистикасын жинау сервисі;</w:t>
            </w:r>
            <w:r>
              <w:br/>
            </w:r>
            <w:r>
              <w:rPr>
                <w:rFonts w:ascii="Times New Roman"/>
                <w:b w:val="false"/>
                <w:i w:val="false"/>
                <w:color w:val="000000"/>
                <w:sz w:val="20"/>
              </w:rPr>
              <w:t>
2) параққа кіріп шығу статистикасы – параққа кіріп шығу статистикасын жинау сервисі;</w:t>
            </w:r>
            <w:r>
              <w:br/>
            </w:r>
            <w:r>
              <w:rPr>
                <w:rFonts w:ascii="Times New Roman"/>
                <w:b w:val="false"/>
                <w:i w:val="false"/>
                <w:color w:val="000000"/>
                <w:sz w:val="20"/>
              </w:rPr>
              <w:t xml:space="preserve">
3) сервердегі дискіні пайдалану статистикасы – сервердегі дискіні пайдалану статистикасын жинау сервисі; </w:t>
            </w:r>
            <w:r>
              <w:br/>
            </w:r>
            <w:r>
              <w:rPr>
                <w:rFonts w:ascii="Times New Roman"/>
                <w:b w:val="false"/>
                <w:i w:val="false"/>
                <w:color w:val="000000"/>
                <w:sz w:val="20"/>
              </w:rPr>
              <w:t>
4) сервердегі оперативтік сақтау құрылғысын пайдалану статистикасы – сервердегі оперативтік сақтау құрылғысын пайдалану статистикасын жинау сервисі;</w:t>
            </w:r>
            <w:r>
              <w:br/>
            </w:r>
            <w:r>
              <w:rPr>
                <w:rFonts w:ascii="Times New Roman"/>
                <w:b w:val="false"/>
                <w:i w:val="false"/>
                <w:color w:val="000000"/>
                <w:sz w:val="20"/>
              </w:rPr>
              <w:t>
5) сервердегі процессорды пайдалану статистикасы – сервердегі процессорды пайдалану статистикасын жинау сервисі;</w:t>
            </w:r>
            <w:r>
              <w:br/>
            </w:r>
            <w:r>
              <w:rPr>
                <w:rFonts w:ascii="Times New Roman"/>
                <w:b w:val="false"/>
                <w:i w:val="false"/>
                <w:color w:val="000000"/>
                <w:sz w:val="20"/>
              </w:rPr>
              <w:t>
6) сервердегі ақпараттық жүйе сервистерін пайдалану статистикасы – сервердегі ақпараттық жүйе сервистерін пайдалану статистикасын жинау сервисі;</w:t>
            </w:r>
            <w:r>
              <w:br/>
            </w:r>
            <w:r>
              <w:rPr>
                <w:rFonts w:ascii="Times New Roman"/>
                <w:b w:val="false"/>
                <w:i w:val="false"/>
                <w:color w:val="000000"/>
                <w:sz w:val="20"/>
              </w:rPr>
              <w:t xml:space="preserve">
7) ақпараттық жүйе сервистерінің орындалу уақытының статистикасы – ақпараттық жүйе сервистерінің орындалу уақыты туралы ақпаратты жинау сервисі; </w:t>
            </w:r>
            <w:r>
              <w:br/>
            </w:r>
            <w:r>
              <w:rPr>
                <w:rFonts w:ascii="Times New Roman"/>
                <w:b w:val="false"/>
                <w:i w:val="false"/>
                <w:color w:val="000000"/>
                <w:sz w:val="20"/>
              </w:rPr>
              <w:t xml:space="preserve">
8) ақпараттық жүйенің логтары мен қателерін талдау – ақпараттық жүйенің логтарын автоматты талдау сервисі.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сервисі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сервисі" ақпараттық жүйесінің бір бөлігі келесі функционалдық компоненттерден тұрады:</w:t>
            </w:r>
            <w:r>
              <w:br/>
            </w:r>
            <w:r>
              <w:rPr>
                <w:rFonts w:ascii="Times New Roman"/>
                <w:b w:val="false"/>
                <w:i w:val="false"/>
                <w:color w:val="000000"/>
                <w:sz w:val="20"/>
              </w:rPr>
              <w:t xml:space="preserve">
электрондық құжаттарды сақтау; </w:t>
            </w:r>
            <w:r>
              <w:br/>
            </w:r>
            <w:r>
              <w:rPr>
                <w:rFonts w:ascii="Times New Roman"/>
                <w:b w:val="false"/>
                <w:i w:val="false"/>
                <w:color w:val="000000"/>
                <w:sz w:val="20"/>
              </w:rPr>
              <w:t>
электрондық құжаттарды жүктеу;</w:t>
            </w:r>
            <w:r>
              <w:br/>
            </w:r>
            <w:r>
              <w:rPr>
                <w:rFonts w:ascii="Times New Roman"/>
                <w:b w:val="false"/>
                <w:i w:val="false"/>
                <w:color w:val="000000"/>
                <w:sz w:val="20"/>
              </w:rPr>
              <w:t>
электрондық құжаттарды шығару;</w:t>
            </w:r>
            <w:r>
              <w:br/>
            </w:r>
            <w:r>
              <w:rPr>
                <w:rFonts w:ascii="Times New Roman"/>
                <w:b w:val="false"/>
                <w:i w:val="false"/>
                <w:color w:val="000000"/>
                <w:sz w:val="20"/>
              </w:rPr>
              <w:t xml:space="preserve">
электрондық құжаттарға қол жеткізу құқығын шектеу.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және (немесе) объектілермен жұмыс бойынша үстел</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және (немесе) объектілермен жұмыс бойынша үстел" ақпараттық жүйесінің бір бөлігі келесі функционалдық компоненттерден тұрады:</w:t>
            </w:r>
            <w:r>
              <w:br/>
            </w:r>
            <w:r>
              <w:rPr>
                <w:rFonts w:ascii="Times New Roman"/>
                <w:b w:val="false"/>
                <w:i w:val="false"/>
                <w:color w:val="000000"/>
                <w:sz w:val="20"/>
              </w:rPr>
              <w:t xml:space="preserve">
1) деректерді кестеге шығару; </w:t>
            </w:r>
            <w:r>
              <w:br/>
            </w:r>
            <w:r>
              <w:rPr>
                <w:rFonts w:ascii="Times New Roman"/>
                <w:b w:val="false"/>
                <w:i w:val="false"/>
                <w:color w:val="000000"/>
                <w:sz w:val="20"/>
              </w:rPr>
              <w:t xml:space="preserve">
2) деректерді қосу; </w:t>
            </w:r>
            <w:r>
              <w:br/>
            </w:r>
            <w:r>
              <w:rPr>
                <w:rFonts w:ascii="Times New Roman"/>
                <w:b w:val="false"/>
                <w:i w:val="false"/>
                <w:color w:val="000000"/>
                <w:sz w:val="20"/>
              </w:rPr>
              <w:t xml:space="preserve">
3) деректерді өзгерту; </w:t>
            </w:r>
            <w:r>
              <w:br/>
            </w:r>
            <w:r>
              <w:rPr>
                <w:rFonts w:ascii="Times New Roman"/>
                <w:b w:val="false"/>
                <w:i w:val="false"/>
                <w:color w:val="000000"/>
                <w:sz w:val="20"/>
              </w:rPr>
              <w:t xml:space="preserve">
4) деректерді өшіру; </w:t>
            </w:r>
            <w:r>
              <w:br/>
            </w:r>
            <w:r>
              <w:rPr>
                <w:rFonts w:ascii="Times New Roman"/>
                <w:b w:val="false"/>
                <w:i w:val="false"/>
                <w:color w:val="000000"/>
                <w:sz w:val="20"/>
              </w:rPr>
              <w:t xml:space="preserve">
5) объектілерге қосымша іс-қимылдарды орындау; </w:t>
            </w:r>
            <w:r>
              <w:br/>
            </w:r>
            <w:r>
              <w:rPr>
                <w:rFonts w:ascii="Times New Roman"/>
                <w:b w:val="false"/>
                <w:i w:val="false"/>
                <w:color w:val="000000"/>
                <w:sz w:val="20"/>
              </w:rPr>
              <w:t xml:space="preserve">
6) объектілердің нұсқалығы; </w:t>
            </w:r>
            <w:r>
              <w:br/>
            </w:r>
            <w:r>
              <w:rPr>
                <w:rFonts w:ascii="Times New Roman"/>
                <w:b w:val="false"/>
                <w:i w:val="false"/>
                <w:color w:val="000000"/>
                <w:sz w:val="20"/>
              </w:rPr>
              <w:t xml:space="preserve">
7) қол жеткізу құқығын шектеу; </w:t>
            </w:r>
            <w:r>
              <w:br/>
            </w:r>
            <w:r>
              <w:rPr>
                <w:rFonts w:ascii="Times New Roman"/>
                <w:b w:val="false"/>
                <w:i w:val="false"/>
                <w:color w:val="000000"/>
                <w:sz w:val="20"/>
              </w:rPr>
              <w:t xml:space="preserve">
8) репрезентаттық жай-күйді тапсыру арқылы объектілерге қол жеткізу.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хабардар ету сервисі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ескерту сервисі" ақпараттық жүйесінің бір бөлігі келесі функционалдық компоненттерден тұрады:</w:t>
            </w:r>
            <w:r>
              <w:br/>
            </w:r>
            <w:r>
              <w:rPr>
                <w:rFonts w:ascii="Times New Roman"/>
                <w:b w:val="false"/>
                <w:i w:val="false"/>
                <w:color w:val="000000"/>
                <w:sz w:val="20"/>
              </w:rPr>
              <w:t xml:space="preserve">
1) репрезентаттық жай-күйді тапсыру арқылы хабарламамен жұмыс; </w:t>
            </w:r>
            <w:r>
              <w:br/>
            </w:r>
            <w:r>
              <w:rPr>
                <w:rFonts w:ascii="Times New Roman"/>
                <w:b w:val="false"/>
                <w:i w:val="false"/>
                <w:color w:val="000000"/>
                <w:sz w:val="20"/>
              </w:rPr>
              <w:t xml:space="preserve">
2) хабарламаны қосу; </w:t>
            </w:r>
            <w:r>
              <w:br/>
            </w:r>
            <w:r>
              <w:rPr>
                <w:rFonts w:ascii="Times New Roman"/>
                <w:b w:val="false"/>
                <w:i w:val="false"/>
                <w:color w:val="000000"/>
                <w:sz w:val="20"/>
              </w:rPr>
              <w:t xml:space="preserve">
3) хабарламаны қарау.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