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0220" w14:textId="4b702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контрагенттің тәуекелдерді басқару жүйесіне, орталық контрагенттің тәуекелдері мониторингінің, оларды бақылау мен басқарудың шарттары мен тәртібіне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11 қаулысы. Қазақстан Республикасының Әділет министрлігінде 2016 жылы 29 ақпанда № 13314 болып тіркелді.</w:t>
      </w:r>
    </w:p>
    <w:p>
      <w:pPr>
        <w:spacing w:after="0"/>
        <w:ind w:left="0"/>
        <w:jc w:val="both"/>
      </w:pPr>
      <w:bookmarkStart w:name="z1" w:id="0"/>
      <w:r>
        <w:rPr>
          <w:rFonts w:ascii="Times New Roman"/>
          <w:b w:val="false"/>
          <w:i w:val="false"/>
          <w:color w:val="000000"/>
          <w:sz w:val="28"/>
        </w:rPr>
        <w:t xml:space="preserve">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Орталық контрагенттің тәуекелдерді басқару жүйесіне, орталық контрагенттің тәуекелдері мониторингінің, оларды бақылау мен басқарудың шарттары мен тәртібіне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Бақылау және қадағалау әдіснамасы департаменті (Әбдірахманов Н.А.)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11 қаулысымен бекітілген</w:t>
            </w:r>
          </w:p>
        </w:tc>
      </w:tr>
    </w:tbl>
    <w:bookmarkStart w:name="z8" w:id="6"/>
    <w:p>
      <w:pPr>
        <w:spacing w:after="0"/>
        <w:ind w:left="0"/>
        <w:jc w:val="left"/>
      </w:pPr>
      <w:r>
        <w:rPr>
          <w:rFonts w:ascii="Times New Roman"/>
          <w:b/>
          <w:i w:val="false"/>
          <w:color w:val="000000"/>
        </w:rPr>
        <w:t xml:space="preserve"> Орталық контрагенттің тәуекелдерді басқару жүйесіне, орталық контрагенттің тәуекелдері мониторингінің, оларды бақылау мен басқарудың шарттары мен тәртібіне қойылатын талаптар</w:t>
      </w:r>
    </w:p>
    <w:bookmarkEnd w:id="6"/>
    <w:bookmarkStart w:name="z9" w:id="7"/>
    <w:p>
      <w:pPr>
        <w:spacing w:after="0"/>
        <w:ind w:left="0"/>
        <w:jc w:val="both"/>
      </w:pPr>
      <w:r>
        <w:rPr>
          <w:rFonts w:ascii="Times New Roman"/>
          <w:b w:val="false"/>
          <w:i w:val="false"/>
          <w:color w:val="000000"/>
          <w:sz w:val="28"/>
        </w:rPr>
        <w:t xml:space="preserve">
      1. Осы Орталық контрагенттің тәуекелдерді басқару жүйесіне, орталық контрагенттің тәуекелдері мониторингінің, оларды бақылау мен басқарудың шарттары мен тәртібіне қойылатын талаптар (бұдан әрі – Талаптар)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Бағалы қағаздар рыногы туралы заң) сәйкес әзірленді және орталық контрагенттің тәуекелдерді басқару жүйесіне, орталық контрагенттің тәуекелдер мониторингінің шарттары мен тәртібіне, бақылау мен басқаруға қойылатын талаптарды белгілейді.</w:t>
      </w:r>
    </w:p>
    <w:bookmarkEnd w:id="7"/>
    <w:bookmarkStart w:name="z10" w:id="8"/>
    <w:p>
      <w:pPr>
        <w:spacing w:after="0"/>
        <w:ind w:left="0"/>
        <w:jc w:val="both"/>
      </w:pPr>
      <w:r>
        <w:rPr>
          <w:rFonts w:ascii="Times New Roman"/>
          <w:b w:val="false"/>
          <w:i w:val="false"/>
          <w:color w:val="000000"/>
          <w:sz w:val="28"/>
        </w:rPr>
        <w:t>
      2. Талаптарда мынадай ұғымдар пайдаланылады:</w:t>
      </w:r>
    </w:p>
    <w:bookmarkEnd w:id="8"/>
    <w:p>
      <w:pPr>
        <w:spacing w:after="0"/>
        <w:ind w:left="0"/>
        <w:jc w:val="both"/>
      </w:pPr>
      <w:r>
        <w:rPr>
          <w:rFonts w:ascii="Times New Roman"/>
          <w:b w:val="false"/>
          <w:i w:val="false"/>
          <w:color w:val="000000"/>
          <w:sz w:val="28"/>
        </w:rPr>
        <w:t xml:space="preserve">
      1) баға тәуекелi – қаржы құралдары құнының қаржы құралдарының, тауарлардың нарықтық құнына әсер ететін қаржы нарықтарының талаптары өзгерген жағдайда туындайтын өзгеруі салдарынан шығыстардың (зиянның) туындау тәуекелі; </w:t>
      </w:r>
    </w:p>
    <w:p>
      <w:pPr>
        <w:spacing w:after="0"/>
        <w:ind w:left="0"/>
        <w:jc w:val="both"/>
      </w:pPr>
      <w:r>
        <w:rPr>
          <w:rFonts w:ascii="Times New Roman"/>
          <w:b w:val="false"/>
          <w:i w:val="false"/>
          <w:color w:val="000000"/>
          <w:sz w:val="28"/>
        </w:rPr>
        <w:t xml:space="preserve">
      2) бедел тәуекелi – қоғамда орталық контрагенттің қаржылық сенімділігі, көрсетілетін қызметтердің сапасы немесе жалпы алғанда орталық контрагент қызметінің сипаты туралы жағымсыз пікір қалыптасуы салдарынан клиенттік базаның тарылуы, өзге де даму көрсеткіштерінің төмендеуі нәтижесінде залалдардың туындау, жоспарланған кірістердің алынбау ықтималдығы; </w:t>
      </w:r>
    </w:p>
    <w:p>
      <w:pPr>
        <w:spacing w:after="0"/>
        <w:ind w:left="0"/>
        <w:jc w:val="both"/>
      </w:pPr>
      <w:r>
        <w:rPr>
          <w:rFonts w:ascii="Times New Roman"/>
          <w:b w:val="false"/>
          <w:i w:val="false"/>
          <w:color w:val="000000"/>
          <w:sz w:val="28"/>
        </w:rPr>
        <w:t xml:space="preserve">
      3) валюталық тәуекел – орталық контрагент өз қызметiн жүзеге асырған кезде шетел валюталары бағамдарының жағымсыз өзгерiстері салдарынан қаржылай шығындардың туындау ықтималдығы; </w:t>
      </w:r>
    </w:p>
    <w:p>
      <w:pPr>
        <w:spacing w:after="0"/>
        <w:ind w:left="0"/>
        <w:jc w:val="both"/>
      </w:pPr>
      <w:r>
        <w:rPr>
          <w:rFonts w:ascii="Times New Roman"/>
          <w:b w:val="false"/>
          <w:i w:val="false"/>
          <w:color w:val="000000"/>
          <w:sz w:val="28"/>
        </w:rPr>
        <w:t xml:space="preserve">
      4) есеп айырысу ұйымы – қаржы құралдарымен мәмілелер бойынша есеп айырысуларды (төлемдерді) ұйымдастыруды жүзеге асыратын ұйым; </w:t>
      </w:r>
    </w:p>
    <w:p>
      <w:pPr>
        <w:spacing w:after="0"/>
        <w:ind w:left="0"/>
        <w:jc w:val="both"/>
      </w:pPr>
      <w:r>
        <w:rPr>
          <w:rFonts w:ascii="Times New Roman"/>
          <w:b w:val="false"/>
          <w:i w:val="false"/>
          <w:color w:val="000000"/>
          <w:sz w:val="28"/>
        </w:rPr>
        <w:t>
      5) кепілдік беру қоры – клирингтік қатысушылардың жарналары есебінен қалыптастырылған және клирингтік қатысушыларға қызмет көрсету кезінде клиринг ұйымы (орталық контрагент) қызметінің тәуекелдерін төмендету үшін арналған қаражат;</w:t>
      </w:r>
    </w:p>
    <w:p>
      <w:pPr>
        <w:spacing w:after="0"/>
        <w:ind w:left="0"/>
        <w:jc w:val="both"/>
      </w:pPr>
      <w:r>
        <w:rPr>
          <w:rFonts w:ascii="Times New Roman"/>
          <w:b w:val="false"/>
          <w:i w:val="false"/>
          <w:color w:val="000000"/>
          <w:sz w:val="28"/>
        </w:rPr>
        <w:t xml:space="preserve">
      6) кредиттік тәуекел – контрагенттің келісілген талаптарға сәйкес өз міндеттемелерін орындамауы салдарынан туындайтын залалдардың туындау ықтималдығы; </w:t>
      </w:r>
    </w:p>
    <w:p>
      <w:pPr>
        <w:spacing w:after="0"/>
        <w:ind w:left="0"/>
        <w:jc w:val="both"/>
      </w:pPr>
      <w:r>
        <w:rPr>
          <w:rFonts w:ascii="Times New Roman"/>
          <w:b w:val="false"/>
          <w:i w:val="false"/>
          <w:color w:val="000000"/>
          <w:sz w:val="28"/>
        </w:rPr>
        <w:t>
      7) құқықтық тәуекел – мыналардың:</w:t>
      </w:r>
    </w:p>
    <w:p>
      <w:pPr>
        <w:spacing w:after="0"/>
        <w:ind w:left="0"/>
        <w:jc w:val="both"/>
      </w:pPr>
      <w:r>
        <w:rPr>
          <w:rFonts w:ascii="Times New Roman"/>
          <w:b w:val="false"/>
          <w:i w:val="false"/>
          <w:color w:val="000000"/>
          <w:sz w:val="28"/>
        </w:rPr>
        <w:t>
      контрагенттің Қазақстан Республикасының нормативтік құқықтық актілерінің талаптарын, сондай-ақ жасасқан шарттардың талаптарын бұзуы;</w:t>
      </w:r>
    </w:p>
    <w:p>
      <w:pPr>
        <w:spacing w:after="0"/>
        <w:ind w:left="0"/>
        <w:jc w:val="both"/>
      </w:pPr>
      <w:r>
        <w:rPr>
          <w:rFonts w:ascii="Times New Roman"/>
          <w:b w:val="false"/>
          <w:i w:val="false"/>
          <w:color w:val="000000"/>
          <w:sz w:val="28"/>
        </w:rPr>
        <w:t>
      құқықтық жүйенің жетілдірілмеуі (орталық контрагент қызметінің барысында туындайтын жекелеген мәселелерді реттеу бойынша заңнама қайшылығы, құқықтық нормалардың болмауы);</w:t>
      </w:r>
    </w:p>
    <w:p>
      <w:pPr>
        <w:spacing w:after="0"/>
        <w:ind w:left="0"/>
        <w:jc w:val="both"/>
      </w:pPr>
      <w:r>
        <w:rPr>
          <w:rFonts w:ascii="Times New Roman"/>
          <w:b w:val="false"/>
          <w:i w:val="false"/>
          <w:color w:val="000000"/>
          <w:sz w:val="28"/>
        </w:rPr>
        <w:t>
      қызметті жүзеге асыру кезінде құқықтық қателер жіберу (дұрыс емес заңдық консультациялар немесе құжаттарды дұрыс жасамау, оның ішінде сот органдарында даулы мәселелерді қарау кезінде);</w:t>
      </w:r>
    </w:p>
    <w:p>
      <w:pPr>
        <w:spacing w:after="0"/>
        <w:ind w:left="0"/>
        <w:jc w:val="both"/>
      </w:pPr>
      <w:r>
        <w:rPr>
          <w:rFonts w:ascii="Times New Roman"/>
          <w:b w:val="false"/>
          <w:i w:val="false"/>
          <w:color w:val="000000"/>
          <w:sz w:val="28"/>
        </w:rPr>
        <w:t>
      орталық контрагенттің Қазақстан Республикасы заңнамасының, ал Қазақстан Республикасының бейрезиденттерімен қатынастарда – басқа мемлекеттердің қолданылатын заңнамасының талаптарын сақтамауы;</w:t>
      </w:r>
    </w:p>
    <w:p>
      <w:pPr>
        <w:spacing w:after="0"/>
        <w:ind w:left="0"/>
        <w:jc w:val="both"/>
      </w:pPr>
      <w:r>
        <w:rPr>
          <w:rFonts w:ascii="Times New Roman"/>
          <w:b w:val="false"/>
          <w:i w:val="false"/>
          <w:color w:val="000000"/>
          <w:sz w:val="28"/>
        </w:rPr>
        <w:t xml:space="preserve">
      орталық контрагенттің жасасқан шарттардың талаптарын сақтамауы салдарынан залалдардың туындау ықтималдығы; </w:t>
      </w:r>
    </w:p>
    <w:p>
      <w:pPr>
        <w:spacing w:after="0"/>
        <w:ind w:left="0"/>
        <w:jc w:val="both"/>
      </w:pPr>
      <w:r>
        <w:rPr>
          <w:rFonts w:ascii="Times New Roman"/>
          <w:b w:val="false"/>
          <w:i w:val="false"/>
          <w:color w:val="000000"/>
          <w:sz w:val="28"/>
        </w:rPr>
        <w:t>
      8) операциялық тәуекел – барабар емес немесе жеткіліксіз ішкі процестер, адам ресурстары мен жүйелері немесе сыртқы оқиғалар нәтижесінде залалдардың туындау ықтималдығы, оның ішінде:</w:t>
      </w:r>
    </w:p>
    <w:p>
      <w:pPr>
        <w:spacing w:after="0"/>
        <w:ind w:left="0"/>
        <w:jc w:val="both"/>
      </w:pPr>
      <w:r>
        <w:rPr>
          <w:rFonts w:ascii="Times New Roman"/>
          <w:b w:val="false"/>
          <w:i w:val="false"/>
          <w:color w:val="000000"/>
          <w:sz w:val="28"/>
        </w:rPr>
        <w:t>
      ақпараттық технологиялар саласындағы барабар емес стратегиялар, саясаттар және (немесе) стандарттар, бағдарламалық қамтамасыз етуді пайдаланудағы кемшіліктер нәтижесінде туындаған тәуекел;</w:t>
      </w:r>
    </w:p>
    <w:p>
      <w:pPr>
        <w:spacing w:after="0"/>
        <w:ind w:left="0"/>
        <w:jc w:val="both"/>
      </w:pPr>
      <w:r>
        <w:rPr>
          <w:rFonts w:ascii="Times New Roman"/>
          <w:b w:val="false"/>
          <w:i w:val="false"/>
          <w:color w:val="000000"/>
          <w:sz w:val="28"/>
        </w:rPr>
        <w:t>
      барабар емес ақпаратқа не оны тиісінше пайдаланбауға байланысты тәуекел;</w:t>
      </w:r>
    </w:p>
    <w:p>
      <w:pPr>
        <w:spacing w:after="0"/>
        <w:ind w:left="0"/>
        <w:jc w:val="both"/>
      </w:pPr>
      <w:r>
        <w:rPr>
          <w:rFonts w:ascii="Times New Roman"/>
          <w:b w:val="false"/>
          <w:i w:val="false"/>
          <w:color w:val="000000"/>
          <w:sz w:val="28"/>
        </w:rPr>
        <w:t>
      бизнес-процестердің барабар емес құрылуына не ішкі құжаттар мен қағидалардың сақталуының әлсіз бақылануына байланысты тәуекел;</w:t>
      </w:r>
    </w:p>
    <w:p>
      <w:pPr>
        <w:spacing w:after="0"/>
        <w:ind w:left="0"/>
        <w:jc w:val="both"/>
      </w:pPr>
      <w:r>
        <w:rPr>
          <w:rFonts w:ascii="Times New Roman"/>
          <w:b w:val="false"/>
          <w:i w:val="false"/>
          <w:color w:val="000000"/>
          <w:sz w:val="28"/>
        </w:rPr>
        <w:t>
      жауапкершілікті бөлуді, есептілік пен басқарудың құрылымын қоса алғанда, орталық контрагенттің белгісіз, барабар емес ұйымдық құрылымымен байланысты тәуекел;</w:t>
      </w:r>
    </w:p>
    <w:p>
      <w:pPr>
        <w:spacing w:after="0"/>
        <w:ind w:left="0"/>
        <w:jc w:val="both"/>
      </w:pPr>
      <w:r>
        <w:rPr>
          <w:rFonts w:ascii="Times New Roman"/>
          <w:b w:val="false"/>
          <w:i w:val="false"/>
          <w:color w:val="000000"/>
          <w:sz w:val="28"/>
        </w:rPr>
        <w:t>
      қызметкерлерді тиісінше басқармауға және (немесе) орталық контрагенттің біліксіз қызметкерлеріне байланысты тәуекел;</w:t>
      </w:r>
    </w:p>
    <w:p>
      <w:pPr>
        <w:spacing w:after="0"/>
        <w:ind w:left="0"/>
        <w:jc w:val="both"/>
      </w:pPr>
      <w:r>
        <w:rPr>
          <w:rFonts w:ascii="Times New Roman"/>
          <w:b w:val="false"/>
          <w:i w:val="false"/>
          <w:color w:val="000000"/>
          <w:sz w:val="28"/>
        </w:rPr>
        <w:t>
      орталық контрагенттің ішкі құжаттарының заңнама талаптарына сәйкес келмеуіне байланысты тәуекел;</w:t>
      </w:r>
    </w:p>
    <w:p>
      <w:pPr>
        <w:spacing w:after="0"/>
        <w:ind w:left="0"/>
        <w:jc w:val="both"/>
      </w:pPr>
      <w:r>
        <w:rPr>
          <w:rFonts w:ascii="Times New Roman"/>
          <w:b w:val="false"/>
          <w:i w:val="false"/>
          <w:color w:val="000000"/>
          <w:sz w:val="28"/>
        </w:rPr>
        <w:t>
      орталық контрагенттің қызметіне теріс әсер етуі мүмкін банк қызметкерлерінің іс-әрекеттеріне, алаяқтыққа байланысты тәуекел;</w:t>
      </w:r>
    </w:p>
    <w:p>
      <w:pPr>
        <w:spacing w:after="0"/>
        <w:ind w:left="0"/>
        <w:jc w:val="both"/>
      </w:pPr>
      <w:r>
        <w:rPr>
          <w:rFonts w:ascii="Times New Roman"/>
          <w:b w:val="false"/>
          <w:i w:val="false"/>
          <w:color w:val="000000"/>
          <w:sz w:val="28"/>
        </w:rPr>
        <w:t>
      орталық контрагенттің операцияларына сыртқы ықпал етудің болжанбаған немесе бақыланбайтын факторларымен туындаған тәуекел;</w:t>
      </w:r>
    </w:p>
    <w:p>
      <w:pPr>
        <w:spacing w:after="0"/>
        <w:ind w:left="0"/>
        <w:jc w:val="both"/>
      </w:pPr>
      <w:r>
        <w:rPr>
          <w:rFonts w:ascii="Times New Roman"/>
          <w:b w:val="false"/>
          <w:i w:val="false"/>
          <w:color w:val="000000"/>
          <w:sz w:val="28"/>
        </w:rPr>
        <w:t>
      9) орталық контрагент – қаржы құралдарымен мәмілелер бойынша клирингтік қызметті, сондай-ақ банк операцияларының жекелеген түрлерін жүзеге асыратын және қаржы құралын әрбір сатушы және әрбір сатып алушы үшін бағалы қағаздардың ұйымдастырылған және ұйымдастырылмаған нарықтарында, сондай-ақ тауар биржасында жасалатын мәмілелер бойынша тарап болатын клиринг ұйымы;</w:t>
      </w:r>
    </w:p>
    <w:p>
      <w:pPr>
        <w:spacing w:after="0"/>
        <w:ind w:left="0"/>
        <w:jc w:val="both"/>
      </w:pPr>
      <w:r>
        <w:rPr>
          <w:rFonts w:ascii="Times New Roman"/>
          <w:b w:val="false"/>
          <w:i w:val="false"/>
          <w:color w:val="000000"/>
          <w:sz w:val="28"/>
        </w:rPr>
        <w:t xml:space="preserve">
      10) өтiмдiлiкті жоғалту тәуекелi – орталық контрагенттің өз міндеттемелерін белгіленген мерзімде айтарлықтай шығындар шекпей орындауға қабілетсіздігі нәтижесінде залалдардың туындау ықтималдығы; </w:t>
      </w:r>
    </w:p>
    <w:p>
      <w:pPr>
        <w:spacing w:after="0"/>
        <w:ind w:left="0"/>
        <w:jc w:val="both"/>
      </w:pPr>
      <w:r>
        <w:rPr>
          <w:rFonts w:ascii="Times New Roman"/>
          <w:b w:val="false"/>
          <w:i w:val="false"/>
          <w:color w:val="000000"/>
          <w:sz w:val="28"/>
        </w:rPr>
        <w:t xml:space="preserve">
      11) пайыздық тәуекел – активтер, пассивтер мен баланстан тыс құралдар бойынша нарықтық пайыздық мөлшерлемелердің жағымсыз өзгеруі салдарынан қаржылай залалдардың туындау ықтималдығы; </w:t>
      </w:r>
    </w:p>
    <w:p>
      <w:pPr>
        <w:spacing w:after="0"/>
        <w:ind w:left="0"/>
        <w:jc w:val="both"/>
      </w:pPr>
      <w:r>
        <w:rPr>
          <w:rFonts w:ascii="Times New Roman"/>
          <w:b w:val="false"/>
          <w:i w:val="false"/>
          <w:color w:val="000000"/>
          <w:sz w:val="28"/>
        </w:rPr>
        <w:t xml:space="preserve">
      12) резервтік қор – орталық контрагенттің меншікті активтері есебінен қалыптастырылған және орталық контрагент қызметінің тәуекелдерін төмендетуге арналған қаражат; </w:t>
      </w:r>
    </w:p>
    <w:p>
      <w:pPr>
        <w:spacing w:after="0"/>
        <w:ind w:left="0"/>
        <w:jc w:val="both"/>
      </w:pPr>
      <w:r>
        <w:rPr>
          <w:rFonts w:ascii="Times New Roman"/>
          <w:b w:val="false"/>
          <w:i w:val="false"/>
          <w:color w:val="000000"/>
          <w:sz w:val="28"/>
        </w:rPr>
        <w:t xml:space="preserve">
      13) стресс - тестинг - орталық контрагенттің қызметіне ықпал ететін орталық контрагенттің қаржылық жағдайына ерекше болатын, бірақ ықтимал оқиғалардың әлеуетті ықпал етуді өлшеу әдістері; </w:t>
      </w:r>
    </w:p>
    <w:p>
      <w:pPr>
        <w:spacing w:after="0"/>
        <w:ind w:left="0"/>
        <w:jc w:val="both"/>
      </w:pPr>
      <w:r>
        <w:rPr>
          <w:rFonts w:ascii="Times New Roman"/>
          <w:b w:val="false"/>
          <w:i w:val="false"/>
          <w:color w:val="000000"/>
          <w:sz w:val="28"/>
        </w:rPr>
        <w:t xml:space="preserve">
      14) тәуекел – күтілетін немесе болжанбаған оқиғалар орталық контрагентке, оның капиталына немесе кірістеріне жағымсыз әсер ететін ықтималдық; </w:t>
      </w:r>
    </w:p>
    <w:p>
      <w:pPr>
        <w:spacing w:after="0"/>
        <w:ind w:left="0"/>
        <w:jc w:val="both"/>
      </w:pPr>
      <w:r>
        <w:rPr>
          <w:rFonts w:ascii="Times New Roman"/>
          <w:b w:val="false"/>
          <w:i w:val="false"/>
          <w:color w:val="000000"/>
          <w:sz w:val="28"/>
        </w:rPr>
        <w:t>
      15) уәкілетті орган – қаржы нарығы мен қаржы ұйымдарын реттеу, бақылау және қадағалау жөніндегі уәкілетті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Орталық контрагенттің директорлар кеңесі тәуекелдерді басқару жүйесінің Талаптарға сәйкес келуін қамтамасыз етеді және орталық контрагент органдарының, бөлімшелерінің және қызметкерлерінің оларға тәуекелдерді басқару саласы бойынша жүктелген міндеттерді орындауы үшін жағдайлар жасайды.</w:t>
      </w:r>
    </w:p>
    <w:bookmarkEnd w:id="9"/>
    <w:bookmarkStart w:name="z12" w:id="10"/>
    <w:p>
      <w:pPr>
        <w:spacing w:after="0"/>
        <w:ind w:left="0"/>
        <w:jc w:val="both"/>
      </w:pPr>
      <w:r>
        <w:rPr>
          <w:rFonts w:ascii="Times New Roman"/>
          <w:b w:val="false"/>
          <w:i w:val="false"/>
          <w:color w:val="000000"/>
          <w:sz w:val="28"/>
        </w:rPr>
        <w:t>
      4. Орталық контрагенттің тәуекелдерді басқару жүйесіне қойылатын талаптар былайша бөлінеді:</w:t>
      </w:r>
    </w:p>
    <w:bookmarkEnd w:id="10"/>
    <w:p>
      <w:pPr>
        <w:spacing w:after="0"/>
        <w:ind w:left="0"/>
        <w:jc w:val="both"/>
      </w:pPr>
      <w:r>
        <w:rPr>
          <w:rFonts w:ascii="Times New Roman"/>
          <w:b w:val="false"/>
          <w:i w:val="false"/>
          <w:color w:val="000000"/>
          <w:sz w:val="28"/>
        </w:rPr>
        <w:t>
      1) тәуекелдерді басқару жүйесінің болуына қойылатын базалық талаптар;</w:t>
      </w:r>
    </w:p>
    <w:p>
      <w:pPr>
        <w:spacing w:after="0"/>
        <w:ind w:left="0"/>
        <w:jc w:val="both"/>
      </w:pPr>
      <w:r>
        <w:rPr>
          <w:rFonts w:ascii="Times New Roman"/>
          <w:b w:val="false"/>
          <w:i w:val="false"/>
          <w:color w:val="000000"/>
          <w:sz w:val="28"/>
        </w:rPr>
        <w:t>
      2) ұйымдық құрылымына қойылатын талаптар;</w:t>
      </w:r>
    </w:p>
    <w:p>
      <w:pPr>
        <w:spacing w:after="0"/>
        <w:ind w:left="0"/>
        <w:jc w:val="both"/>
      </w:pPr>
      <w:r>
        <w:rPr>
          <w:rFonts w:ascii="Times New Roman"/>
          <w:b w:val="false"/>
          <w:i w:val="false"/>
          <w:color w:val="000000"/>
          <w:sz w:val="28"/>
        </w:rPr>
        <w:t>
      3) мониторингке, бақылауға және тәуекелдерді басқару тәртібіне қойылатын талаптар;</w:t>
      </w:r>
    </w:p>
    <w:p>
      <w:pPr>
        <w:spacing w:after="0"/>
        <w:ind w:left="0"/>
        <w:jc w:val="both"/>
      </w:pPr>
      <w:r>
        <w:rPr>
          <w:rFonts w:ascii="Times New Roman"/>
          <w:b w:val="false"/>
          <w:i w:val="false"/>
          <w:color w:val="000000"/>
          <w:sz w:val="28"/>
        </w:rPr>
        <w:t>
      4) қаржы құралдарымен жасалатын мәмілелерді жүзеге асыру қызметін ұйымдастыруға қойылатын талаптар;</w:t>
      </w:r>
    </w:p>
    <w:p>
      <w:pPr>
        <w:spacing w:after="0"/>
        <w:ind w:left="0"/>
        <w:jc w:val="both"/>
      </w:pPr>
      <w:r>
        <w:rPr>
          <w:rFonts w:ascii="Times New Roman"/>
          <w:b w:val="false"/>
          <w:i w:val="false"/>
          <w:color w:val="000000"/>
          <w:sz w:val="28"/>
        </w:rPr>
        <w:t>
      5) ішкі бақылау жүйесінің болуына қойылатын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5. Орталық контрагент жыл сайын есепті жылдан кейінгі жылдың </w:t>
      </w:r>
    </w:p>
    <w:bookmarkEnd w:id="11"/>
    <w:p>
      <w:pPr>
        <w:spacing w:after="0"/>
        <w:ind w:left="0"/>
        <w:jc w:val="both"/>
      </w:pPr>
      <w:r>
        <w:rPr>
          <w:rFonts w:ascii="Times New Roman"/>
          <w:b w:val="false"/>
          <w:i w:val="false"/>
          <w:color w:val="000000"/>
          <w:sz w:val="28"/>
        </w:rPr>
        <w:t>
      1 (бірінші) шілдесінен кешіктірмей уәкілетті органға Талаптарға қосымшаға сәйкес нысан бойынша тәуекелдерді басқару жүйесіне қойылатын талаптардың орындалуын бағалау бойынша есеп береді.</w:t>
      </w:r>
    </w:p>
    <w:bookmarkStart w:name="z14" w:id="12"/>
    <w:p>
      <w:pPr>
        <w:spacing w:after="0"/>
        <w:ind w:left="0"/>
        <w:jc w:val="both"/>
      </w:pPr>
      <w:r>
        <w:rPr>
          <w:rFonts w:ascii="Times New Roman"/>
          <w:b w:val="false"/>
          <w:i w:val="false"/>
          <w:color w:val="000000"/>
          <w:sz w:val="28"/>
        </w:rPr>
        <w:t>
      6. Орталық контрагент Талаптардың 30-тармағының 1), 2), 3), 4), 5) және 6) тармақшаларында көрсетілген тәуекелдердің түрлері бойынша орталық контрагенттің тәуекелдерді басқару жөніндегі саясатында көзделген тәртіппен тоқсанына кемінде бір рет стресс-тестинг жүргізеді.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Талаптардың 30-тармағының 1), 2), 3), 4), 5) және 6) тармақшаларында көрсетілген тәуекелдер бойынша стресс-тестинг нәтижелері орталық контрагенттің тәуекелдерді басқару жөніндегі саясатында белгіленген тәртіппен ресімделеді және стресс-тест сценарийінің сипатын, таңдалған стресс-тест сценарийінің негіздемесін және стресс-тестинг нәтижелері бойынша ұсынымдарды қамтиды.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9. Орталық контрагентте тәуекелдерді басқару жүйесінің болуы орталық контрагент қызметінің корпоративтік басқару талаптарына сәйкес келуін, бағалы қағаздар нарығында қызметтің кәсіби түрін жүзеге асыру шеңберінде операциялар жүргізу тәжірибесінің болуын көздейді.</w:t>
      </w:r>
    </w:p>
    <w:bookmarkEnd w:id="14"/>
    <w:p>
      <w:pPr>
        <w:spacing w:after="0"/>
        <w:ind w:left="0"/>
        <w:jc w:val="both"/>
      </w:pPr>
      <w:r>
        <w:rPr>
          <w:rFonts w:ascii="Times New Roman"/>
          <w:b w:val="false"/>
          <w:i w:val="false"/>
          <w:color w:val="000000"/>
          <w:sz w:val="28"/>
        </w:rPr>
        <w:t>
      Орталық контрагенттің тәуекелдерді басқару жүйесі оның қызметіне тән тәуекелдерді бақылауды, мониторингтеуді, сондай-ақ барынша азайтуды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10. Орталық контрагенттің тәуекелдерді басқару жүйесі өз қызметінде мынадай бағыттарды қамтиды:</w:t>
      </w:r>
    </w:p>
    <w:bookmarkEnd w:id="15"/>
    <w:p>
      <w:pPr>
        <w:spacing w:after="0"/>
        <w:ind w:left="0"/>
        <w:jc w:val="both"/>
      </w:pPr>
      <w:r>
        <w:rPr>
          <w:rFonts w:ascii="Times New Roman"/>
          <w:b w:val="false"/>
          <w:i w:val="false"/>
          <w:color w:val="000000"/>
          <w:sz w:val="28"/>
        </w:rPr>
        <w:t>
      1) клирингтік қатысушылар, қор (тауар) биржасы, орталық депозитарий және (немесе) есеп айырысу ұйымы ұсынатын ақпаратты жинау, енгізу, сақтау және тарату;</w:t>
      </w:r>
    </w:p>
    <w:p>
      <w:pPr>
        <w:spacing w:after="0"/>
        <w:ind w:left="0"/>
        <w:jc w:val="both"/>
      </w:pPr>
      <w:r>
        <w:rPr>
          <w:rFonts w:ascii="Times New Roman"/>
          <w:b w:val="false"/>
          <w:i w:val="false"/>
          <w:color w:val="000000"/>
          <w:sz w:val="28"/>
        </w:rPr>
        <w:t>
      2) қор биржасының сауда жүйесінде жасалған сауда-саттық және мәмілелер, сондай-ақ клиринг бойынша ақпарат жинау, талдау және сақтау;</w:t>
      </w:r>
    </w:p>
    <w:p>
      <w:pPr>
        <w:spacing w:after="0"/>
        <w:ind w:left="0"/>
        <w:jc w:val="both"/>
      </w:pPr>
      <w:r>
        <w:rPr>
          <w:rFonts w:ascii="Times New Roman"/>
          <w:b w:val="false"/>
          <w:i w:val="false"/>
          <w:color w:val="000000"/>
          <w:sz w:val="28"/>
        </w:rPr>
        <w:t>
      3) орталық контрагенттің мүдделі органдарының шешімдер қабылдауы және орталық контрагенттің органдары мен бөлімшелері арасында ақпарат алмасу үшін ақпарат ұсыну;</w:t>
      </w:r>
    </w:p>
    <w:p>
      <w:pPr>
        <w:spacing w:after="0"/>
        <w:ind w:left="0"/>
        <w:jc w:val="both"/>
      </w:pPr>
      <w:r>
        <w:rPr>
          <w:rFonts w:ascii="Times New Roman"/>
          <w:b w:val="false"/>
          <w:i w:val="false"/>
          <w:color w:val="000000"/>
          <w:sz w:val="28"/>
        </w:rPr>
        <w:t>
      4) орталық контрагенттің активтерін қаржы құралдарына инвестициялау;</w:t>
      </w:r>
    </w:p>
    <w:p>
      <w:pPr>
        <w:spacing w:after="0"/>
        <w:ind w:left="0"/>
        <w:jc w:val="both"/>
      </w:pPr>
      <w:r>
        <w:rPr>
          <w:rFonts w:ascii="Times New Roman"/>
          <w:b w:val="false"/>
          <w:i w:val="false"/>
          <w:color w:val="000000"/>
          <w:sz w:val="28"/>
        </w:rPr>
        <w:t>
      5) резервтік немесе кепілдік беру қорларын, клирингтік қатысушылардың маржалық жарналарын және өзге де қамтамасыз етуін қалыптастыру және пайдалану;</w:t>
      </w:r>
    </w:p>
    <w:p>
      <w:pPr>
        <w:spacing w:after="0"/>
        <w:ind w:left="0"/>
        <w:jc w:val="both"/>
      </w:pPr>
      <w:r>
        <w:rPr>
          <w:rFonts w:ascii="Times New Roman"/>
          <w:b w:val="false"/>
          <w:i w:val="false"/>
          <w:color w:val="000000"/>
          <w:sz w:val="28"/>
        </w:rPr>
        <w:t>
      6) орталық контрагентті басқарудың ұйымдық құрылымын құру және жетілдіру;</w:t>
      </w:r>
    </w:p>
    <w:p>
      <w:pPr>
        <w:spacing w:after="0"/>
        <w:ind w:left="0"/>
        <w:jc w:val="both"/>
      </w:pPr>
      <w:r>
        <w:rPr>
          <w:rFonts w:ascii="Times New Roman"/>
          <w:b w:val="false"/>
          <w:i w:val="false"/>
          <w:color w:val="000000"/>
          <w:sz w:val="28"/>
        </w:rPr>
        <w:t>
      7) клирингтік қатысушылармен жұмысты ұйымдастыру тәртібін айқындау, оның ішінде дауларды қарау және шешу, сондай-ақ клирингтік қатысушылардың өз міндеттемелерін орындамаған жағдайда тиісті шаралар қолдану рәсімдерін айқындау;</w:t>
      </w:r>
    </w:p>
    <w:p>
      <w:pPr>
        <w:spacing w:after="0"/>
        <w:ind w:left="0"/>
        <w:jc w:val="both"/>
      </w:pPr>
      <w:r>
        <w:rPr>
          <w:rFonts w:ascii="Times New Roman"/>
          <w:b w:val="false"/>
          <w:i w:val="false"/>
          <w:color w:val="000000"/>
          <w:sz w:val="28"/>
        </w:rPr>
        <w:t>
      8) мынадай әдістердің көмегімен тәуекелдерді анықтау және сәйкестендіру:</w:t>
      </w:r>
    </w:p>
    <w:p>
      <w:pPr>
        <w:spacing w:after="0"/>
        <w:ind w:left="0"/>
        <w:jc w:val="both"/>
      </w:pPr>
      <w:r>
        <w:rPr>
          <w:rFonts w:ascii="Times New Roman"/>
          <w:b w:val="false"/>
          <w:i w:val="false"/>
          <w:color w:val="000000"/>
          <w:sz w:val="28"/>
        </w:rPr>
        <w:t>
      процестің үздіксіз, үзіліссіз болуын қамтамасыз ету мақсатында орталық контрагенттің жүйесіне тұрақты мониторинг жүргізу;</w:t>
      </w:r>
    </w:p>
    <w:p>
      <w:pPr>
        <w:spacing w:after="0"/>
        <w:ind w:left="0"/>
        <w:jc w:val="both"/>
      </w:pPr>
      <w:r>
        <w:rPr>
          <w:rFonts w:ascii="Times New Roman"/>
          <w:b w:val="false"/>
          <w:i w:val="false"/>
          <w:color w:val="000000"/>
          <w:sz w:val="28"/>
        </w:rPr>
        <w:t>
      орталық контрагенттің пайдаланылатын бағдарламалық-техникалық қамтамасыз етуінің аудиті;</w:t>
      </w:r>
    </w:p>
    <w:p>
      <w:pPr>
        <w:spacing w:after="0"/>
        <w:ind w:left="0"/>
        <w:jc w:val="both"/>
      </w:pPr>
      <w:r>
        <w:rPr>
          <w:rFonts w:ascii="Times New Roman"/>
          <w:b w:val="false"/>
          <w:i w:val="false"/>
          <w:color w:val="000000"/>
          <w:sz w:val="28"/>
        </w:rPr>
        <w:t>
      орталық контрагенттің Қазақстан Республикасының бағалы қағаздар рыногы туралы заңнамасында және орталық контрагенттің тәуекелдерді басқару саласы жөніндегі саясатында белгілеген талаптарды сақтау мониторингі;</w:t>
      </w:r>
    </w:p>
    <w:p>
      <w:pPr>
        <w:spacing w:after="0"/>
        <w:ind w:left="0"/>
        <w:jc w:val="both"/>
      </w:pPr>
      <w:r>
        <w:rPr>
          <w:rFonts w:ascii="Times New Roman"/>
          <w:b w:val="false"/>
          <w:i w:val="false"/>
          <w:color w:val="000000"/>
          <w:sz w:val="28"/>
        </w:rPr>
        <w:t>
      клирингтік қатысушылардың қаржылық жай-күйінің, сондай-ақ олардың орталық контрагенттің ішкі құжаттары талаптарына сәйкестігі мониторингі;</w:t>
      </w:r>
    </w:p>
    <w:p>
      <w:pPr>
        <w:spacing w:after="0"/>
        <w:ind w:left="0"/>
        <w:jc w:val="both"/>
      </w:pPr>
      <w:r>
        <w:rPr>
          <w:rFonts w:ascii="Times New Roman"/>
          <w:b w:val="false"/>
          <w:i w:val="false"/>
          <w:color w:val="000000"/>
          <w:sz w:val="28"/>
        </w:rPr>
        <w:t>
      орталық контрагенттің тәуекелдерді басқару саласы жөніндегі саясатында көзделген тәртіппен стресс-тестинг өткізу;</w:t>
      </w:r>
    </w:p>
    <w:p>
      <w:pPr>
        <w:spacing w:after="0"/>
        <w:ind w:left="0"/>
        <w:jc w:val="both"/>
      </w:pPr>
      <w:r>
        <w:rPr>
          <w:rFonts w:ascii="Times New Roman"/>
          <w:b w:val="false"/>
          <w:i w:val="false"/>
          <w:color w:val="000000"/>
          <w:sz w:val="28"/>
        </w:rPr>
        <w:t xml:space="preserve">
      9) ішкі құжаттарды әзірлеу және бекіту.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11. Тәуекелдерді басқару жүйесінде мынадай ішкі құжаттардың болуы көзделеді, бірақ онымен шектелмейді:</w:t>
      </w:r>
    </w:p>
    <w:bookmarkEnd w:id="16"/>
    <w:p>
      <w:pPr>
        <w:spacing w:after="0"/>
        <w:ind w:left="0"/>
        <w:jc w:val="both"/>
      </w:pPr>
      <w:r>
        <w:rPr>
          <w:rFonts w:ascii="Times New Roman"/>
          <w:b w:val="false"/>
          <w:i w:val="false"/>
          <w:color w:val="000000"/>
          <w:sz w:val="28"/>
        </w:rPr>
        <w:t>
      1) орталық контрагенттің тәуекелдерді басқару жөніндегі саясаттары;</w:t>
      </w:r>
    </w:p>
    <w:p>
      <w:pPr>
        <w:spacing w:after="0"/>
        <w:ind w:left="0"/>
        <w:jc w:val="both"/>
      </w:pPr>
      <w:r>
        <w:rPr>
          <w:rFonts w:ascii="Times New Roman"/>
          <w:b w:val="false"/>
          <w:i w:val="false"/>
          <w:color w:val="000000"/>
          <w:sz w:val="28"/>
        </w:rPr>
        <w:t>
      2) орталық контрагенттің активтерін инвестициялау тәртібі;</w:t>
      </w:r>
    </w:p>
    <w:p>
      <w:pPr>
        <w:spacing w:after="0"/>
        <w:ind w:left="0"/>
        <w:jc w:val="both"/>
      </w:pPr>
      <w:r>
        <w:rPr>
          <w:rFonts w:ascii="Times New Roman"/>
          <w:b w:val="false"/>
          <w:i w:val="false"/>
          <w:color w:val="000000"/>
          <w:sz w:val="28"/>
        </w:rPr>
        <w:t>
      3) орталық контрагенттің резервтік немесе кепілдік беру қорларын қалыптастыру, сондай-ақ пайдалану тәртібі мен шарттары;</w:t>
      </w:r>
    </w:p>
    <w:p>
      <w:pPr>
        <w:spacing w:after="0"/>
        <w:ind w:left="0"/>
        <w:jc w:val="both"/>
      </w:pPr>
      <w:r>
        <w:rPr>
          <w:rFonts w:ascii="Times New Roman"/>
          <w:b w:val="false"/>
          <w:i w:val="false"/>
          <w:color w:val="000000"/>
          <w:sz w:val="28"/>
        </w:rPr>
        <w:t>
      4) ішкі бақылауды және ішкі аудитті жүзеге асыру рәсімдері;</w:t>
      </w:r>
    </w:p>
    <w:p>
      <w:pPr>
        <w:spacing w:after="0"/>
        <w:ind w:left="0"/>
        <w:jc w:val="both"/>
      </w:pPr>
      <w:r>
        <w:rPr>
          <w:rFonts w:ascii="Times New Roman"/>
          <w:b w:val="false"/>
          <w:i w:val="false"/>
          <w:color w:val="000000"/>
          <w:sz w:val="28"/>
        </w:rPr>
        <w:t>
      5) орталық контрагентте орын алған және әлеуетті мүдделер қақтығысын басқару рәсімдері;</w:t>
      </w:r>
    </w:p>
    <w:p>
      <w:pPr>
        <w:spacing w:after="0"/>
        <w:ind w:left="0"/>
        <w:jc w:val="both"/>
      </w:pPr>
      <w:r>
        <w:rPr>
          <w:rFonts w:ascii="Times New Roman"/>
          <w:b w:val="false"/>
          <w:i w:val="false"/>
          <w:color w:val="000000"/>
          <w:sz w:val="28"/>
        </w:rPr>
        <w:t>
      6) орталық контрагенттің басшы және өзге қызметкерлерінің инсайдерлік ақпаратты және бағалы қағаздар нарығында коммерциялық құпияны құрайтын ақпаратты пайдалануына жол бермеуге бағытталған рәсімдер;</w:t>
      </w:r>
    </w:p>
    <w:p>
      <w:pPr>
        <w:spacing w:after="0"/>
        <w:ind w:left="0"/>
        <w:jc w:val="both"/>
      </w:pPr>
      <w:r>
        <w:rPr>
          <w:rFonts w:ascii="Times New Roman"/>
          <w:b w:val="false"/>
          <w:i w:val="false"/>
          <w:color w:val="000000"/>
          <w:sz w:val="28"/>
        </w:rPr>
        <w:t>
      7) клирингтік қатысушылардың клирингтік қатысушылар ретіндегі қызметінің тәртібін реттейтін Қазақстан Республикасының бағалы қағаздар нарығы туралы заңнамасының, орталық контрагенттің ішкі құжаттарының талаптарына және клирингтік қатысушылардың қаржылық жай-күйіне қойылатын талаптарға сәйкестігі мәніне мониторинг және бақылау жасаудың шарттары мен тәртібі;</w:t>
      </w:r>
    </w:p>
    <w:p>
      <w:pPr>
        <w:spacing w:after="0"/>
        <w:ind w:left="0"/>
        <w:jc w:val="both"/>
      </w:pPr>
      <w:r>
        <w:rPr>
          <w:rFonts w:ascii="Times New Roman"/>
          <w:b w:val="false"/>
          <w:i w:val="false"/>
          <w:color w:val="000000"/>
          <w:sz w:val="28"/>
        </w:rPr>
        <w:t>
      8) клирингтік қатысушыларға қойылатын талаптар;</w:t>
      </w:r>
    </w:p>
    <w:p>
      <w:pPr>
        <w:spacing w:after="0"/>
        <w:ind w:left="0"/>
        <w:jc w:val="both"/>
      </w:pPr>
      <w:r>
        <w:rPr>
          <w:rFonts w:ascii="Times New Roman"/>
          <w:b w:val="false"/>
          <w:i w:val="false"/>
          <w:color w:val="000000"/>
          <w:sz w:val="28"/>
        </w:rPr>
        <w:t>
      9) орталық контрагенттің ақпараттық саясаты.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12. Орталық контрагенттің тәуекелдерді басқару жөніндегі саясаты:</w:t>
      </w:r>
    </w:p>
    <w:bookmarkEnd w:id="17"/>
    <w:p>
      <w:pPr>
        <w:spacing w:after="0"/>
        <w:ind w:left="0"/>
        <w:jc w:val="both"/>
      </w:pPr>
      <w:r>
        <w:rPr>
          <w:rFonts w:ascii="Times New Roman"/>
          <w:b w:val="false"/>
          <w:i w:val="false"/>
          <w:color w:val="000000"/>
          <w:sz w:val="28"/>
        </w:rPr>
        <w:t>
      1) орталық контрагенттің директорлар кеңесінің, басқармасының, тәуекелдерді басқару жөніндегі жауапты бөлімшесінің және орталық контрагенттің клирингтік қатысушыларға мониторинг және бақылау жүргізу бөлімшесінің өкілеттіктері мен функционалдық міндеттері, сондай-ақ осы органдар мен бөлімшелердің арасында ақпарат алмасу тәртібі;</w:t>
      </w:r>
    </w:p>
    <w:p>
      <w:pPr>
        <w:spacing w:after="0"/>
        <w:ind w:left="0"/>
        <w:jc w:val="both"/>
      </w:pPr>
      <w:r>
        <w:rPr>
          <w:rFonts w:ascii="Times New Roman"/>
          <w:b w:val="false"/>
          <w:i w:val="false"/>
          <w:color w:val="000000"/>
          <w:sz w:val="28"/>
        </w:rPr>
        <w:t>
      2) орталық контрагенттің қызметіне және оның жүйесінің жұмыс істеуіне байланысты тәуекелдер көрсеткіштерінің сандық мәнін анықтау тәртібін қоса алғанда, тәуекелдерді сәйкестендіру және бағалау жөніндегі рәсімдерді;</w:t>
      </w:r>
    </w:p>
    <w:p>
      <w:pPr>
        <w:spacing w:after="0"/>
        <w:ind w:left="0"/>
        <w:jc w:val="both"/>
      </w:pPr>
      <w:r>
        <w:rPr>
          <w:rFonts w:ascii="Times New Roman"/>
          <w:b w:val="false"/>
          <w:i w:val="false"/>
          <w:color w:val="000000"/>
          <w:sz w:val="28"/>
        </w:rPr>
        <w:t>
      3) стресс-тестинг жүргізу жөніндегі рәсімдерді, сондай-ақ тәуекелдер көрсеткіштерінің барынша жоғары қолжетімді мәнін белгілеу жөніндегі рәсімдерді;</w:t>
      </w:r>
    </w:p>
    <w:p>
      <w:pPr>
        <w:spacing w:after="0"/>
        <w:ind w:left="0"/>
        <w:jc w:val="both"/>
      </w:pPr>
      <w:r>
        <w:rPr>
          <w:rFonts w:ascii="Times New Roman"/>
          <w:b w:val="false"/>
          <w:i w:val="false"/>
          <w:color w:val="000000"/>
          <w:sz w:val="28"/>
        </w:rPr>
        <w:t>
      4) орталық контрагенттің қызметіне және оның жүйесінің жұмыс істеуі барысында туындайтын тәуекелдерді басқару жөніндегі шараларды;</w:t>
      </w:r>
    </w:p>
    <w:p>
      <w:pPr>
        <w:spacing w:after="0"/>
        <w:ind w:left="0"/>
        <w:jc w:val="both"/>
      </w:pPr>
      <w:r>
        <w:rPr>
          <w:rFonts w:ascii="Times New Roman"/>
          <w:b w:val="false"/>
          <w:i w:val="false"/>
          <w:color w:val="000000"/>
          <w:sz w:val="28"/>
        </w:rPr>
        <w:t>
      5) осы тармақтың 2) тармақшасында белгіленген рәсімдер тиімділігі, орталық контрагенттің тәуекелдер көрсеткіштерінің мәндерін және тәуекелдерді басқару жөніндегі шараларды бағалаудың барабарлығы мониторингінің тетігін;</w:t>
      </w:r>
    </w:p>
    <w:p>
      <w:pPr>
        <w:spacing w:after="0"/>
        <w:ind w:left="0"/>
        <w:jc w:val="both"/>
      </w:pPr>
      <w:r>
        <w:rPr>
          <w:rFonts w:ascii="Times New Roman"/>
          <w:b w:val="false"/>
          <w:i w:val="false"/>
          <w:color w:val="000000"/>
          <w:sz w:val="28"/>
        </w:rPr>
        <w:t>
      6) осы тармақтың 2) тармақшасында белгіленген рәсімдерге және осы тармақтың 3) тармақшасында шараларға сәйкес келмеген жағдайда қабылданатын шаралар тиімділігі мониторингінің тетігін;</w:t>
      </w:r>
    </w:p>
    <w:p>
      <w:pPr>
        <w:spacing w:after="0"/>
        <w:ind w:left="0"/>
        <w:jc w:val="both"/>
      </w:pPr>
      <w:r>
        <w:rPr>
          <w:rFonts w:ascii="Times New Roman"/>
          <w:b w:val="false"/>
          <w:i w:val="false"/>
          <w:color w:val="000000"/>
          <w:sz w:val="28"/>
        </w:rPr>
        <w:t>
      7) тәуекелдер мониторингі, бағалау және бақылау жөніндегі рәсімдерді, оның ішінде:</w:t>
      </w:r>
    </w:p>
    <w:p>
      <w:pPr>
        <w:spacing w:after="0"/>
        <w:ind w:left="0"/>
        <w:jc w:val="both"/>
      </w:pPr>
      <w:r>
        <w:rPr>
          <w:rFonts w:ascii="Times New Roman"/>
          <w:b w:val="false"/>
          <w:i w:val="false"/>
          <w:color w:val="000000"/>
          <w:sz w:val="28"/>
        </w:rPr>
        <w:t>
      орталық контрагенттің тәуекелдерді басқару жөніндегі жауапты бөлімшесінің орталық контрагенттің басқа бөлімшелерімен бірлесе отырып, тәуекелдер мониторингі бойынша қабылдайтын шараларын;</w:t>
      </w:r>
    </w:p>
    <w:p>
      <w:pPr>
        <w:spacing w:after="0"/>
        <w:ind w:left="0"/>
        <w:jc w:val="both"/>
      </w:pPr>
      <w:r>
        <w:rPr>
          <w:rFonts w:ascii="Times New Roman"/>
          <w:b w:val="false"/>
          <w:i w:val="false"/>
          <w:color w:val="000000"/>
          <w:sz w:val="28"/>
        </w:rPr>
        <w:t>
      тәуекелдердің туындау жиілігін бағалауды, осы тәуекелдердің ықпалынан болған әсерлерді кейіннен ранжирлеуді және тәуекелдер көрсеткіштерінің жол берілетін ең жоғары мәндерін белгілеуді қоса алғанда, орталық контрагенттің тәуекелдерді басқару жөніндегі жауапты бөлімшесі жүзеге асыратын тәуекелдерді бағалауды;</w:t>
      </w:r>
    </w:p>
    <w:p>
      <w:pPr>
        <w:spacing w:after="0"/>
        <w:ind w:left="0"/>
        <w:jc w:val="both"/>
      </w:pPr>
      <w:r>
        <w:rPr>
          <w:rFonts w:ascii="Times New Roman"/>
          <w:b w:val="false"/>
          <w:i w:val="false"/>
          <w:color w:val="000000"/>
          <w:sz w:val="28"/>
        </w:rPr>
        <w:t>
      орталық контрагент тәуекелдері көрсеткіштері мәндерінің және осы көрсеткіштердің жол берілетін ең жоғары мәндерінің өзгеруіне, сондай-ақ тәуекелдер көрсеткіштерінің мәндері тәуекелдер көрсеткіштерінің жол берілетін ең жоғары мәндеріне сәйкес келмеген жағдайда, тәуекелдерді барынша азайту мақсатында қабылданатын шараларға мониторинг жасауды қамтитын, орталық контрагенттің тәуекелдерді басқару жөніндегі жауапты бөлімшесі жүргізетін тәуекелдер мониторингі;</w:t>
      </w:r>
    </w:p>
    <w:p>
      <w:pPr>
        <w:spacing w:after="0"/>
        <w:ind w:left="0"/>
        <w:jc w:val="both"/>
      </w:pPr>
      <w:r>
        <w:rPr>
          <w:rFonts w:ascii="Times New Roman"/>
          <w:b w:val="false"/>
          <w:i w:val="false"/>
          <w:color w:val="000000"/>
          <w:sz w:val="28"/>
        </w:rPr>
        <w:t xml:space="preserve">
      клирингтік қатысушылар қор биржасының сауда жүйесінде жасасқан мәмілелер бойынша орталық контрагенттің жауапкершілігіне әкеп соғуға мүмкіндігі бар кез-келген маңызды жағдайлар туралы осындай жағдайларды анықтау функцияларына кіретін бөлімшенің директорлар кеңесіне дереу есептілік беру тетігі; </w:t>
      </w:r>
    </w:p>
    <w:p>
      <w:pPr>
        <w:spacing w:after="0"/>
        <w:ind w:left="0"/>
        <w:jc w:val="both"/>
      </w:pPr>
      <w:r>
        <w:rPr>
          <w:rFonts w:ascii="Times New Roman"/>
          <w:b w:val="false"/>
          <w:i w:val="false"/>
          <w:color w:val="000000"/>
          <w:sz w:val="28"/>
        </w:rPr>
        <w:t>
      клирингтік қатысушылар тәуекелдерінің көрсеткіштері мәндерінің және тәуекелдердің осы көрсеткіштерінің жол берілетін ең жоғары мәндерінің өзгеруіне, сондай-ақ тәуекелдер көрсеткіштерінің мәндері тәуекелдер көрсеткіштерінің жол берілетін ең жоғары мәндеріне сәйкес келмеген жағдайда тәуекелдерді азайту мақсатында қабылданатын шараларға мониторинг жасау қамтылатын, орталық контрагенттің клирингтік қатысушыларға мониторинг және бақылау жүргізу жөніндегі жауапты бөлімшесі жүргізетін тәуекелдер мониторингі.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13. Орталық контрагенттің активтерiн инвестициялаудың тәртiбi қаржы құралдарымен мәмiлелердi жүзеге асырудың шарттары мен тәртiбiн, қаржы құралдарымен мәмiлелердi жүзеге асыру барысында қолданылатын құжаттардың үлгі нысандарын белгiлейдi және мыналар бойынша рәсiмдердiң сипаттауын қамтиды:</w:t>
      </w:r>
    </w:p>
    <w:bookmarkEnd w:id="18"/>
    <w:p>
      <w:pPr>
        <w:spacing w:after="0"/>
        <w:ind w:left="0"/>
        <w:jc w:val="both"/>
      </w:pPr>
      <w:r>
        <w:rPr>
          <w:rFonts w:ascii="Times New Roman"/>
          <w:b w:val="false"/>
          <w:i w:val="false"/>
          <w:color w:val="000000"/>
          <w:sz w:val="28"/>
        </w:rPr>
        <w:t>
      1) орталық контрагенттің активтерін инвестициялау саясатын әзiрлеу;</w:t>
      </w:r>
    </w:p>
    <w:p>
      <w:pPr>
        <w:spacing w:after="0"/>
        <w:ind w:left="0"/>
        <w:jc w:val="both"/>
      </w:pPr>
      <w:r>
        <w:rPr>
          <w:rFonts w:ascii="Times New Roman"/>
          <w:b w:val="false"/>
          <w:i w:val="false"/>
          <w:color w:val="000000"/>
          <w:sz w:val="28"/>
        </w:rPr>
        <w:t>
      2) мыналарды көздейтiн орталық контрагенттің активтеріне қатысты инвестициялық шешiмдердi қабылдау үшiн ұсынымдар дайындау:</w:t>
      </w:r>
    </w:p>
    <w:p>
      <w:pPr>
        <w:spacing w:after="0"/>
        <w:ind w:left="0"/>
        <w:jc w:val="both"/>
      </w:pPr>
      <w:r>
        <w:rPr>
          <w:rFonts w:ascii="Times New Roman"/>
          <w:b w:val="false"/>
          <w:i w:val="false"/>
          <w:color w:val="000000"/>
          <w:sz w:val="28"/>
        </w:rPr>
        <w:t>
      ұсынымдар беруге уәкiлеттi тұлғалар лауазымдарының тiзбесi;</w:t>
      </w:r>
    </w:p>
    <w:p>
      <w:pPr>
        <w:spacing w:after="0"/>
        <w:ind w:left="0"/>
        <w:jc w:val="both"/>
      </w:pPr>
      <w:r>
        <w:rPr>
          <w:rFonts w:ascii="Times New Roman"/>
          <w:b w:val="false"/>
          <w:i w:val="false"/>
          <w:color w:val="000000"/>
          <w:sz w:val="28"/>
        </w:rPr>
        <w:t>
      инвестициялық портфельдiң жай-күйiн талдауды жүзеге асыру тәртiбi;</w:t>
      </w:r>
    </w:p>
    <w:p>
      <w:pPr>
        <w:spacing w:after="0"/>
        <w:ind w:left="0"/>
        <w:jc w:val="both"/>
      </w:pPr>
      <w:r>
        <w:rPr>
          <w:rFonts w:ascii="Times New Roman"/>
          <w:b w:val="false"/>
          <w:i w:val="false"/>
          <w:color w:val="000000"/>
          <w:sz w:val="28"/>
        </w:rPr>
        <w:t>
      инвестициялауды жүзеге асыру болжанатын қаржы құралдары айналымының және кiрiстiлiгiнiң болуын талдауды жүзеге асыру тәртiбi;</w:t>
      </w:r>
    </w:p>
    <w:p>
      <w:pPr>
        <w:spacing w:after="0"/>
        <w:ind w:left="0"/>
        <w:jc w:val="both"/>
      </w:pPr>
      <w:r>
        <w:rPr>
          <w:rFonts w:ascii="Times New Roman"/>
          <w:b w:val="false"/>
          <w:i w:val="false"/>
          <w:color w:val="000000"/>
          <w:sz w:val="28"/>
        </w:rPr>
        <w:t>
      инвестициялауды жүзеге асыру болжанатын қаржы құралдарымен байланысты тәуекелдерді талдауды жүзеге асыру тәртiбi;</w:t>
      </w:r>
    </w:p>
    <w:p>
      <w:pPr>
        <w:spacing w:after="0"/>
        <w:ind w:left="0"/>
        <w:jc w:val="both"/>
      </w:pPr>
      <w:r>
        <w:rPr>
          <w:rFonts w:ascii="Times New Roman"/>
          <w:b w:val="false"/>
          <w:i w:val="false"/>
          <w:color w:val="000000"/>
          <w:sz w:val="28"/>
        </w:rPr>
        <w:t>
      ұсынымдарды беру үшін маңызды факторлардың талдауын жүзеге асыру тәртiбi;</w:t>
      </w:r>
    </w:p>
    <w:p>
      <w:pPr>
        <w:spacing w:after="0"/>
        <w:ind w:left="0"/>
        <w:jc w:val="both"/>
      </w:pPr>
      <w:r>
        <w:rPr>
          <w:rFonts w:ascii="Times New Roman"/>
          <w:b w:val="false"/>
          <w:i w:val="false"/>
          <w:color w:val="000000"/>
          <w:sz w:val="28"/>
        </w:rPr>
        <w:t>
      3) инвестициялық комитет жұмысының сипаттамасы, отырыстарды өткiзудiң және рәсiмдеудiң кезеңдiлiгi болатын орталық контрагенттің активтеріне қатысты инвестициялық шешiмдердi қабылдау;</w:t>
      </w:r>
    </w:p>
    <w:p>
      <w:pPr>
        <w:spacing w:after="0"/>
        <w:ind w:left="0"/>
        <w:jc w:val="both"/>
      </w:pPr>
      <w:r>
        <w:rPr>
          <w:rFonts w:ascii="Times New Roman"/>
          <w:b w:val="false"/>
          <w:i w:val="false"/>
          <w:color w:val="000000"/>
          <w:sz w:val="28"/>
        </w:rPr>
        <w:t>
      4) инвестициялық шешiмдердi дайындау, қабылдау және орындау барысында, оның ішінде орталық контрагенттің функцияларын жүзеге асыру және орталық контрагенттің активтерін инвестициялау арасындағы мүдделердің әлеуетті қақтығыстарын басқару бөлігінде орталық контрагенттің органдары мен бөлiмшелерiнің өзара іс-қимыл ету;</w:t>
      </w:r>
    </w:p>
    <w:p>
      <w:pPr>
        <w:spacing w:after="0"/>
        <w:ind w:left="0"/>
        <w:jc w:val="both"/>
      </w:pPr>
      <w:r>
        <w:rPr>
          <w:rFonts w:ascii="Times New Roman"/>
          <w:b w:val="false"/>
          <w:i w:val="false"/>
          <w:color w:val="000000"/>
          <w:sz w:val="28"/>
        </w:rPr>
        <w:t>
      5) көмегi арқылы мәмiлелер жасау болжанатын (осындай бар болса) делдалмен (брокермен) өзара iс-қимыл ету процестерiнiң сипаттамасы бар қаржы құралдарымен мәмiлелер жасасу және олардың орындалуын бақылауды жүзеге асыру, мәмiлелер жасасуға бақылау, активтердiң құрамы мен қозғалысын салыстырып тексерудi жүзеге асыру, жасалған мәмiлелердiң iшкi есепке алуын және құжат айналымын жүргiзу, сондай-ақ қаржы құралдарымен мәмiлелер жасасуға бақылауды жүзеге асыратын басшы қызметкерлердің тiзбесi;</w:t>
      </w:r>
    </w:p>
    <w:p>
      <w:pPr>
        <w:spacing w:after="0"/>
        <w:ind w:left="0"/>
        <w:jc w:val="both"/>
      </w:pPr>
      <w:r>
        <w:rPr>
          <w:rFonts w:ascii="Times New Roman"/>
          <w:b w:val="false"/>
          <w:i w:val="false"/>
          <w:color w:val="000000"/>
          <w:sz w:val="28"/>
        </w:rPr>
        <w:t>
      6) орталық контрагенттің басқармасы қаржы құралдарымен операциялар бойынша қызмет нәтижелері туралы есептiлiктi дайындау.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14. Орталық контрагенттің қаржы құралдарымен мәмiлелер жасасуды қамтамасыз ету мақсатында, мыналар кiретiн, бiрақ олармен шектелмейтiн активтерді инвестициялау саясаты әзiрленедi:</w:t>
      </w:r>
    </w:p>
    <w:bookmarkEnd w:id="19"/>
    <w:p>
      <w:pPr>
        <w:spacing w:after="0"/>
        <w:ind w:left="0"/>
        <w:jc w:val="both"/>
      </w:pPr>
      <w:r>
        <w:rPr>
          <w:rFonts w:ascii="Times New Roman"/>
          <w:b w:val="false"/>
          <w:i w:val="false"/>
          <w:color w:val="000000"/>
          <w:sz w:val="28"/>
        </w:rPr>
        <w:t>
      1) активтерді инвестициялау мақсаты мен стратегиясы;</w:t>
      </w:r>
    </w:p>
    <w:p>
      <w:pPr>
        <w:spacing w:after="0"/>
        <w:ind w:left="0"/>
        <w:jc w:val="both"/>
      </w:pPr>
      <w:r>
        <w:rPr>
          <w:rFonts w:ascii="Times New Roman"/>
          <w:b w:val="false"/>
          <w:i w:val="false"/>
          <w:color w:val="000000"/>
          <w:sz w:val="28"/>
        </w:rPr>
        <w:t>
      2) активтерді инвестициялау объектiлерiнiң сипаттамасы мен тiзбесi;</w:t>
      </w:r>
    </w:p>
    <w:p>
      <w:pPr>
        <w:spacing w:after="0"/>
        <w:ind w:left="0"/>
        <w:jc w:val="both"/>
      </w:pPr>
      <w:r>
        <w:rPr>
          <w:rFonts w:ascii="Times New Roman"/>
          <w:b w:val="false"/>
          <w:i w:val="false"/>
          <w:color w:val="000000"/>
          <w:sz w:val="28"/>
        </w:rPr>
        <w:t>
      3) қаржы құралдарының түрлерi бойынша активтерді инвестициялау лимиттерi;</w:t>
      </w:r>
    </w:p>
    <w:p>
      <w:pPr>
        <w:spacing w:after="0"/>
        <w:ind w:left="0"/>
        <w:jc w:val="both"/>
      </w:pPr>
      <w:r>
        <w:rPr>
          <w:rFonts w:ascii="Times New Roman"/>
          <w:b w:val="false"/>
          <w:i w:val="false"/>
          <w:color w:val="000000"/>
          <w:sz w:val="28"/>
        </w:rPr>
        <w:t>
      4) қаржы құралдарымен мәмілелерге қатысты белгіленген шарттар мен шектеулер;</w:t>
      </w:r>
    </w:p>
    <w:p>
      <w:pPr>
        <w:spacing w:after="0"/>
        <w:ind w:left="0"/>
        <w:jc w:val="both"/>
      </w:pPr>
      <w:r>
        <w:rPr>
          <w:rFonts w:ascii="Times New Roman"/>
          <w:b w:val="false"/>
          <w:i w:val="false"/>
          <w:color w:val="000000"/>
          <w:sz w:val="28"/>
        </w:rPr>
        <w:t>
      5) хеджирлеу құралдарының тiзбесi мен сипаттамасын көрсете отырып, активтерді хеджирлеу және әртараптандыру шарттары;</w:t>
      </w:r>
    </w:p>
    <w:p>
      <w:pPr>
        <w:spacing w:after="0"/>
        <w:ind w:left="0"/>
        <w:jc w:val="both"/>
      </w:pPr>
      <w:r>
        <w:rPr>
          <w:rFonts w:ascii="Times New Roman"/>
          <w:b w:val="false"/>
          <w:i w:val="false"/>
          <w:color w:val="000000"/>
          <w:sz w:val="28"/>
        </w:rPr>
        <w:t>
      6) активтерді инвестициялауға байланысты негiзгi тәуекелдер туралы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15. Орталық контрагенттің активтерiн инвестициялау саясатын және оған енгiзiлетiн барлық өзгерiстер мен толықтыруларды орталық контрагенттің директорлар кеңесi бекiтедi.</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16. Резервтік, кепілдік беру қорларын, клирингтік қатысушылардың маржалық жарналарын және өзге де қамтамасыз етуін қалыптастыру, сондай-ақ пайдалану тәртібі мен шарттары мыналарды қамтиды:</w:t>
      </w:r>
    </w:p>
    <w:bookmarkEnd w:id="21"/>
    <w:p>
      <w:pPr>
        <w:spacing w:after="0"/>
        <w:ind w:left="0"/>
        <w:jc w:val="both"/>
      </w:pPr>
      <w:r>
        <w:rPr>
          <w:rFonts w:ascii="Times New Roman"/>
          <w:b w:val="false"/>
          <w:i w:val="false"/>
          <w:color w:val="000000"/>
          <w:sz w:val="28"/>
        </w:rPr>
        <w:t>
      1) орталық контрагенттің резервтік немесе кепілдік беру қорларының, клирингтік қатысушылардың маржалық жарналарының және өзге де қамтамасыз етуінің мөлшерлерін айқындау және бағалау әдістемесі;</w:t>
      </w:r>
    </w:p>
    <w:p>
      <w:pPr>
        <w:spacing w:after="0"/>
        <w:ind w:left="0"/>
        <w:jc w:val="both"/>
      </w:pPr>
      <w:r>
        <w:rPr>
          <w:rFonts w:ascii="Times New Roman"/>
          <w:b w:val="false"/>
          <w:i w:val="false"/>
          <w:color w:val="000000"/>
          <w:sz w:val="28"/>
        </w:rPr>
        <w:t>
      2) клирингтік қатысушылардың маржалық жарналарын және өзге де қамтамасыз етуін, клирингтік қатысушылардың орталық контрагенттің кепілдік беру қорына жарналарды төлеу, орталық контрагенттің резервтік қорын қалыптастыру тәртібі мен шарттары;</w:t>
      </w:r>
    </w:p>
    <w:p>
      <w:pPr>
        <w:spacing w:after="0"/>
        <w:ind w:left="0"/>
        <w:jc w:val="both"/>
      </w:pPr>
      <w:r>
        <w:rPr>
          <w:rFonts w:ascii="Times New Roman"/>
          <w:b w:val="false"/>
          <w:i w:val="false"/>
          <w:color w:val="000000"/>
          <w:sz w:val="28"/>
        </w:rPr>
        <w:t>
      3) орталық контрагенттің резервтік немесе кепілдік беру қорларынан төлемдерді жүзеге асыру тәртібі мен шарттары;</w:t>
      </w:r>
    </w:p>
    <w:p>
      <w:pPr>
        <w:spacing w:after="0"/>
        <w:ind w:left="0"/>
        <w:jc w:val="both"/>
      </w:pPr>
      <w:r>
        <w:rPr>
          <w:rFonts w:ascii="Times New Roman"/>
          <w:b w:val="false"/>
          <w:i w:val="false"/>
          <w:color w:val="000000"/>
          <w:sz w:val="28"/>
        </w:rPr>
        <w:t>
      4) орталық контрагенттің резервтік немесе кепілдік беру қорларының активтерін:</w:t>
      </w:r>
    </w:p>
    <w:p>
      <w:pPr>
        <w:spacing w:after="0"/>
        <w:ind w:left="0"/>
        <w:jc w:val="both"/>
      </w:pPr>
      <w:r>
        <w:rPr>
          <w:rFonts w:ascii="Times New Roman"/>
          <w:b w:val="false"/>
          <w:i w:val="false"/>
          <w:color w:val="000000"/>
          <w:sz w:val="28"/>
        </w:rPr>
        <w:t>
      Қазақстан Республикасының Ұлттық Банкінде ашылған корреспонденттік шоттағы немесе "Бағалы қағаздардың орталық депозитарийі" акционерлік қоғамында ашылған банк шотындағы ақшаға;</w:t>
      </w:r>
    </w:p>
    <w:p>
      <w:pPr>
        <w:spacing w:after="0"/>
        <w:ind w:left="0"/>
        <w:jc w:val="both"/>
      </w:pPr>
      <w:r>
        <w:rPr>
          <w:rFonts w:ascii="Times New Roman"/>
          <w:b w:val="false"/>
          <w:i w:val="false"/>
          <w:color w:val="000000"/>
          <w:sz w:val="28"/>
        </w:rPr>
        <w:t>
      Standard &amp; Poor's агенттiгiнiң халықаралық шәкілі бойынша "ВВВ-" төмен емес ұзақмерзімді халықаралық рейтингi немесе Fitch немесе Moody's Investors Service агенттiктерінiң халықаралық шәкілi бойынша осыған ұқсас деңгейдегi рейтингi бар корреспондент шетелдік банктердің шоттарындағы ақшаға;</w:t>
      </w:r>
    </w:p>
    <w:p>
      <w:pPr>
        <w:spacing w:after="0"/>
        <w:ind w:left="0"/>
        <w:jc w:val="both"/>
      </w:pPr>
      <w:r>
        <w:rPr>
          <w:rFonts w:ascii="Times New Roman"/>
          <w:b w:val="false"/>
          <w:i w:val="false"/>
          <w:color w:val="000000"/>
          <w:sz w:val="28"/>
        </w:rPr>
        <w:t>
      Standard &amp; Poor's агенттiгiнiң халықаралық шәкілі бойынша "В+" төмен емес ұзақмерзімді рейтингi немесе Fitch немесе Moody's Investors Service агенттiктерінiң халықаралық шәкілi бойынша осыған ұқсас деңгейдегi рейтингi бар Қазақстан Республикасының екінші деңгейдегі банктерінің ағымдағы шоттарындағы ақшаға;</w:t>
      </w:r>
    </w:p>
    <w:p>
      <w:pPr>
        <w:spacing w:after="0"/>
        <w:ind w:left="0"/>
        <w:jc w:val="both"/>
      </w:pPr>
      <w:r>
        <w:rPr>
          <w:rFonts w:ascii="Times New Roman"/>
          <w:b w:val="false"/>
          <w:i w:val="false"/>
          <w:color w:val="000000"/>
          <w:sz w:val="28"/>
        </w:rPr>
        <w:t>
      Қазақстан Республикасының мемлекеттік бағалы қағаздарына;</w:t>
      </w:r>
    </w:p>
    <w:p>
      <w:pPr>
        <w:spacing w:after="0"/>
        <w:ind w:left="0"/>
        <w:jc w:val="both"/>
      </w:pPr>
      <w:r>
        <w:rPr>
          <w:rFonts w:ascii="Times New Roman"/>
          <w:b w:val="false"/>
          <w:i w:val="false"/>
          <w:color w:val="000000"/>
          <w:sz w:val="28"/>
        </w:rPr>
        <w:t>
      Standard &amp; Poor's агенттiгiнiң халықаралық шәкілі бойынша "АА" төмен емес ұзақмерзімді халықаралық рейтингi немесе Fitch немесе Moody's Investors Service агенттiктерінiң халықаралық шәкілi бойынша осыған ұқсас деңгейдегi рейтингi бар шет мемлекеттердің мемлекеттік облигацияларына;</w:t>
      </w:r>
    </w:p>
    <w:p>
      <w:pPr>
        <w:spacing w:after="0"/>
        <w:ind w:left="0"/>
        <w:jc w:val="both"/>
      </w:pPr>
      <w:r>
        <w:rPr>
          <w:rFonts w:ascii="Times New Roman"/>
          <w:b w:val="false"/>
          <w:i w:val="false"/>
          <w:color w:val="000000"/>
          <w:sz w:val="28"/>
        </w:rPr>
        <w:t>
      "автоматты" тәсілмен жүзеге асырылатын репо құралдарына;</w:t>
      </w:r>
    </w:p>
    <w:p>
      <w:pPr>
        <w:spacing w:after="0"/>
        <w:ind w:left="0"/>
        <w:jc w:val="both"/>
      </w:pPr>
      <w:r>
        <w:rPr>
          <w:rFonts w:ascii="Times New Roman"/>
          <w:b w:val="false"/>
          <w:i w:val="false"/>
          <w:color w:val="000000"/>
          <w:sz w:val="28"/>
        </w:rPr>
        <w:t>
      Standard &amp; Poor's агенттiгiнiң халықаралық шәкілі бойынша "ВВ+" төмен емес ұзақмерзімді рейтингi немесе Fitch немесе Moody's Investors Service агенттiктерінiң халықаралық шәкілi бойынша осыған ұқсас деңгейдегi рейтингi бар Қазақстан Республикасының екінші деңгейдегі банктеріндегі депозиттерге;</w:t>
      </w:r>
    </w:p>
    <w:p>
      <w:pPr>
        <w:spacing w:after="0"/>
        <w:ind w:left="0"/>
        <w:jc w:val="both"/>
      </w:pPr>
      <w:r>
        <w:rPr>
          <w:rFonts w:ascii="Times New Roman"/>
          <w:b w:val="false"/>
          <w:i w:val="false"/>
          <w:color w:val="000000"/>
          <w:sz w:val="28"/>
        </w:rPr>
        <w:t>
      Standard &amp; Poor's агенттiгiнiң халықаралық шәкілі бойынша "ВВВ-" төмен емес ұзақмерзімді халықаралық рейтингi немесе Fitch немесе Moody's Investors Service агенттiктерінiң халықаралық шәкілi бойынша осыған ұқсас деңгейдегi рейтингi бар Қазақстан Республикасының бейрезиденттері банктердегі депозиттерге;</w:t>
      </w:r>
    </w:p>
    <w:p>
      <w:pPr>
        <w:spacing w:after="0"/>
        <w:ind w:left="0"/>
        <w:jc w:val="both"/>
      </w:pPr>
      <w:r>
        <w:rPr>
          <w:rFonts w:ascii="Times New Roman"/>
          <w:b w:val="false"/>
          <w:i w:val="false"/>
          <w:color w:val="000000"/>
          <w:sz w:val="28"/>
        </w:rPr>
        <w:t>
      Standard &amp; Poor's агенттiгiнiң халықаралық шәкілі бойынша "ВВ-" төмен емес рейтингi немесе Fitch немесе Moody's Investors Service агенттiктерінiң халықаралық шәкілi бойынша осыған ұқсас деңгейдегi рейтингi бар корпоративтік облигацияларға (оның ішінде купондық халықаралық облигацияларға);</w:t>
      </w:r>
    </w:p>
    <w:p>
      <w:pPr>
        <w:spacing w:after="0"/>
        <w:ind w:left="0"/>
        <w:jc w:val="both"/>
      </w:pPr>
      <w:r>
        <w:rPr>
          <w:rFonts w:ascii="Times New Roman"/>
          <w:b w:val="false"/>
          <w:i w:val="false"/>
          <w:color w:val="000000"/>
          <w:sz w:val="28"/>
        </w:rPr>
        <w:t>
      Standard &amp; Poor's агенттiгiнiң халықаралық шәкілі бойынша "ВВ+" төмен емес ұзақмерзімді халықаралық рейтингi немесе Fitch немесе Moody's Investors Service агенттiктерінiң халықаралық шәкілi бойынша осыған ұқсас деңгейдегi рейтингi бар Қазақстан Республикасы резиденттерінің квазимемлекеттік борыштық бағалы қағаздарына инвестициялау тәртібі мен шарттары;</w:t>
      </w:r>
    </w:p>
    <w:p>
      <w:pPr>
        <w:spacing w:after="0"/>
        <w:ind w:left="0"/>
        <w:jc w:val="both"/>
      </w:pPr>
      <w:r>
        <w:rPr>
          <w:rFonts w:ascii="Times New Roman"/>
          <w:b w:val="false"/>
          <w:i w:val="false"/>
          <w:color w:val="000000"/>
          <w:sz w:val="28"/>
        </w:rPr>
        <w:t>
      5) маржалық жарналарды төлеу үшін және (немесе) өзге де қамтамасыз ету ретінде енгізілген ақшаны:</w:t>
      </w:r>
    </w:p>
    <w:p>
      <w:pPr>
        <w:spacing w:after="0"/>
        <w:ind w:left="0"/>
        <w:jc w:val="both"/>
      </w:pPr>
      <w:r>
        <w:rPr>
          <w:rFonts w:ascii="Times New Roman"/>
          <w:b w:val="false"/>
          <w:i w:val="false"/>
          <w:color w:val="000000"/>
          <w:sz w:val="28"/>
        </w:rPr>
        <w:t>
      Қазақстан Республикасының Ұлттық Банкінде ашылған корреспонденттік шоттағы немесе "Бағалы қағаздардың орталық депозитарийі" акционерлік қоғамында ашылған банк шотындағы ақшаға;</w:t>
      </w:r>
    </w:p>
    <w:p>
      <w:pPr>
        <w:spacing w:after="0"/>
        <w:ind w:left="0"/>
        <w:jc w:val="both"/>
      </w:pPr>
      <w:r>
        <w:rPr>
          <w:rFonts w:ascii="Times New Roman"/>
          <w:b w:val="false"/>
          <w:i w:val="false"/>
          <w:color w:val="000000"/>
          <w:sz w:val="28"/>
        </w:rPr>
        <w:t>
      Standard &amp; Poor's агенттiгiнiң халықаралық шкаласы бойынша "ВВВ-" төмен емес ұзақмерзімді халықаралық рейтингi немесе Fitch немесе Moody's Investors Service агенттiктерінiң халықаралық шкаласы бойынша осыған ұқсас деңгейдегi рейтингi бар корреспондент шетелдік банктердің шоттарындағы ақшаға;</w:t>
      </w:r>
    </w:p>
    <w:p>
      <w:pPr>
        <w:spacing w:after="0"/>
        <w:ind w:left="0"/>
        <w:jc w:val="both"/>
      </w:pPr>
      <w:r>
        <w:rPr>
          <w:rFonts w:ascii="Times New Roman"/>
          <w:b w:val="false"/>
          <w:i w:val="false"/>
          <w:color w:val="000000"/>
          <w:sz w:val="28"/>
        </w:rPr>
        <w:t>
      Standard &amp; Poor's агенттiгiнiң халықаралық шкаласы бойынша "В+" төмен емес ұзақмерзімді рейтингi немесе Fitch немесе Moody's Investors Service агенттiктерінiң халықаралық шкаласы бойынша осыған ұқсас деңгейдегi рейтингi бар Қазақстан Республикасының екінші деңгейдегі банктерінің ағымдағы шоттарындағы ақшаға;</w:t>
      </w:r>
    </w:p>
    <w:p>
      <w:pPr>
        <w:spacing w:after="0"/>
        <w:ind w:left="0"/>
        <w:jc w:val="both"/>
      </w:pPr>
      <w:r>
        <w:rPr>
          <w:rFonts w:ascii="Times New Roman"/>
          <w:b w:val="false"/>
          <w:i w:val="false"/>
          <w:color w:val="000000"/>
          <w:sz w:val="28"/>
        </w:rPr>
        <w:t>
      Қазақстан Республикасының мемлекеттік бағалы қағаздарына;</w:t>
      </w:r>
    </w:p>
    <w:p>
      <w:pPr>
        <w:spacing w:after="0"/>
        <w:ind w:left="0"/>
        <w:jc w:val="both"/>
      </w:pPr>
      <w:r>
        <w:rPr>
          <w:rFonts w:ascii="Times New Roman"/>
          <w:b w:val="false"/>
          <w:i w:val="false"/>
          <w:color w:val="000000"/>
          <w:sz w:val="28"/>
        </w:rPr>
        <w:t xml:space="preserve">
      Standard &amp; Poor's агенттiгiнiң халықаралық шкаласы бойынша "АА" төмен емес ұзақмерзімді халықаралық рейтингi немесе Fitch немесе Moody's Investors Service агенттiктерінiң халықаралық шкаласы бойынша осыған ұқсас деңгейдегi рейтингi бар шет мемлекеттердің мемлекеттік облигацияларына; </w:t>
      </w:r>
    </w:p>
    <w:p>
      <w:pPr>
        <w:spacing w:after="0"/>
        <w:ind w:left="0"/>
        <w:jc w:val="both"/>
      </w:pPr>
      <w:r>
        <w:rPr>
          <w:rFonts w:ascii="Times New Roman"/>
          <w:b w:val="false"/>
          <w:i w:val="false"/>
          <w:color w:val="000000"/>
          <w:sz w:val="28"/>
        </w:rPr>
        <w:t xml:space="preserve">
      Standard &amp; Poor's агенттiгiнiң халықаралық шкаласы бойынша "BB-" төмен емес рейтингi немесе Fitch немесе Moody's Investors Service агенттiктерінiң халықаралық шкаласы бойынша осыған ұқсас деңгейдегi рейтингi бар борыштық бағалы қағаздарына (оның ішінде купондық халықаралық облигацияларға); </w:t>
      </w:r>
    </w:p>
    <w:p>
      <w:pPr>
        <w:spacing w:after="0"/>
        <w:ind w:left="0"/>
        <w:jc w:val="both"/>
      </w:pPr>
      <w:r>
        <w:rPr>
          <w:rFonts w:ascii="Times New Roman"/>
          <w:b w:val="false"/>
          <w:i w:val="false"/>
          <w:color w:val="000000"/>
          <w:sz w:val="28"/>
        </w:rPr>
        <w:t>
      "автоматты" тәсілмен жүзеге асырылатын репо құралдарына;</w:t>
      </w:r>
    </w:p>
    <w:p>
      <w:pPr>
        <w:spacing w:after="0"/>
        <w:ind w:left="0"/>
        <w:jc w:val="both"/>
      </w:pPr>
      <w:r>
        <w:rPr>
          <w:rFonts w:ascii="Times New Roman"/>
          <w:b w:val="false"/>
          <w:i w:val="false"/>
          <w:color w:val="000000"/>
          <w:sz w:val="28"/>
        </w:rPr>
        <w:t>
      СВОП операцияларына;</w:t>
      </w:r>
    </w:p>
    <w:p>
      <w:pPr>
        <w:spacing w:after="0"/>
        <w:ind w:left="0"/>
        <w:jc w:val="both"/>
      </w:pPr>
      <w:r>
        <w:rPr>
          <w:rFonts w:ascii="Times New Roman"/>
          <w:b w:val="false"/>
          <w:i w:val="false"/>
          <w:color w:val="000000"/>
          <w:sz w:val="28"/>
        </w:rPr>
        <w:t>
      Standard &amp; Poor's агенттiгiнiң халықаралық шкаласы бойынша "ВВВ-" төмен емес ұзақмерзімді халықаралық рейтингi немесе Fitch немесе Moody's Investors Service агенттiктерінiң халықаралық шкаласы бойынша осыған ұқсас деңгейдегi рейтингi бар Қазақстан Республикасының бейрезидент-банктеріндегі депозиттерге;</w:t>
      </w:r>
    </w:p>
    <w:p>
      <w:pPr>
        <w:spacing w:after="0"/>
        <w:ind w:left="0"/>
        <w:jc w:val="both"/>
      </w:pPr>
      <w:r>
        <w:rPr>
          <w:rFonts w:ascii="Times New Roman"/>
          <w:b w:val="false"/>
          <w:i w:val="false"/>
          <w:color w:val="000000"/>
          <w:sz w:val="28"/>
        </w:rPr>
        <w:t>
      Standard &amp; Poor's агенттiгiнiң халықаралық шкаласы бойынша "ВВ-" төмен емес ұзақмерзімді рейтингi немесе Fitch немесе Moody's Investors Service агенттiктерінiң халықаралық шкаласы бойынша осыған ұқсас деңгейдегi рейтингi бар Қазақстан Республикасының екінші деңгейдегі банктеріндегі депозиттерге инвестициялау тәртібі мен шарттары.</w:t>
      </w:r>
    </w:p>
    <w:p>
      <w:pPr>
        <w:spacing w:after="0"/>
        <w:ind w:left="0"/>
        <w:jc w:val="both"/>
      </w:pPr>
      <w:r>
        <w:rPr>
          <w:rFonts w:ascii="Times New Roman"/>
          <w:b w:val="false"/>
          <w:i w:val="false"/>
          <w:color w:val="000000"/>
          <w:sz w:val="28"/>
        </w:rPr>
        <w:t>
      Осы тармақтың 5) тармақшасында көзделген құралдардың тізбесі орталық контрагент клирингтік қатысушылардың береуінің міндеттемелерді орындамау фактісін реттеу мақсатында қаржы құралдарын сатып алған жағдайда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17. Қаржы құралдарымен мәмілелерді жүзеге асыру қызметін ұйымдастыруға қойылатын талаптар орталық контрагенттің функцияларын жүзеге асыратын тұлғалардың қызметін реттейтін Қазақстан Республикасының бағалы қағаздар нарығы туралы заңнамасында белгіленеді.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 </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18. Орталық контрагент әрбір нарық бойынша қалыптастыратын орталық контрагенттің клирингтік (кепілдік берілген және резервтік) қорларының жиынтық мөлшерін орталық контрагент олардың мөлшерін клирингке екі қатысушының міндеттемелерін көрсетілген міндетемелердің ең көп көлемімен орындамаған жағдайда, орталық контрагенттің әлеуетті зияндары мөлшерінен төмен емес деңгейде ұстап тұру қажеттілігін ескере отырып айқындайды.</w:t>
      </w:r>
    </w:p>
    <w:bookmarkEnd w:id="23"/>
    <w:p>
      <w:pPr>
        <w:spacing w:after="0"/>
        <w:ind w:left="0"/>
        <w:jc w:val="both"/>
      </w:pPr>
      <w:r>
        <w:rPr>
          <w:rFonts w:ascii="Times New Roman"/>
          <w:b w:val="false"/>
          <w:i w:val="false"/>
          <w:color w:val="000000"/>
          <w:sz w:val="28"/>
        </w:rPr>
        <w:t>
      Орталық контрагент клирингтік (кепілдік беру және резервтік) қорларын құрайтын ақшаны, клирингтік қатысушылардың маржалық жарналарын және ақшасын орталық контрагенттің ішкі құжаттарына сәйкес орналастырады.</w:t>
      </w:r>
    </w:p>
    <w:p>
      <w:pPr>
        <w:spacing w:after="0"/>
        <w:ind w:left="0"/>
        <w:jc w:val="both"/>
      </w:pPr>
      <w:r>
        <w:rPr>
          <w:rFonts w:ascii="Times New Roman"/>
          <w:b w:val="false"/>
          <w:i w:val="false"/>
          <w:color w:val="000000"/>
          <w:sz w:val="28"/>
        </w:rPr>
        <w:t>
      Орталық контрагент қатысушылардың позицияларын ағымдағы нарықтық құны бойынша бағалайды және ағымдағы тәуекелдердің жинақталуын шектеу үшін кемінде күніне бір рет клирингтік қатысушылардан маржалық қамтамасыз етуді алады.</w:t>
      </w:r>
    </w:p>
    <w:p>
      <w:pPr>
        <w:spacing w:after="0"/>
        <w:ind w:left="0"/>
        <w:jc w:val="both"/>
      </w:pPr>
      <w:r>
        <w:rPr>
          <w:rFonts w:ascii="Times New Roman"/>
          <w:b w:val="false"/>
          <w:i w:val="false"/>
          <w:color w:val="000000"/>
          <w:sz w:val="28"/>
        </w:rPr>
        <w:t>
      Орталық контрагенттің клирингтік қатысушылардың қамтамасыз ету мөлшеріне қоятын талаптары кемінде тоқсан тоғыз пайыз сенімділік деңгейіне сәйкес келетін ықтималдылыққа жол бере отырып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19. Iшкi аудиттi және iшкi бақылауды жүзеге асыру рәсiмдерi:</w:t>
      </w:r>
    </w:p>
    <w:bookmarkEnd w:id="24"/>
    <w:p>
      <w:pPr>
        <w:spacing w:after="0"/>
        <w:ind w:left="0"/>
        <w:jc w:val="both"/>
      </w:pPr>
      <w:r>
        <w:rPr>
          <w:rFonts w:ascii="Times New Roman"/>
          <w:b w:val="false"/>
          <w:i w:val="false"/>
          <w:color w:val="000000"/>
          <w:sz w:val="28"/>
        </w:rPr>
        <w:t>
      1) iшкi аудит қызметiнiң құрамын, оның функцияларын, мiндеттерi мен өкiлеттiктерiн;</w:t>
      </w:r>
    </w:p>
    <w:p>
      <w:pPr>
        <w:spacing w:after="0"/>
        <w:ind w:left="0"/>
        <w:jc w:val="both"/>
      </w:pPr>
      <w:r>
        <w:rPr>
          <w:rFonts w:ascii="Times New Roman"/>
          <w:b w:val="false"/>
          <w:i w:val="false"/>
          <w:color w:val="000000"/>
          <w:sz w:val="28"/>
        </w:rPr>
        <w:t>
      2) iшкi аудиттi және iшкi бақылауды жүзеге асыратын қызметкерлерге қойылатын талаптарды;</w:t>
      </w:r>
    </w:p>
    <w:p>
      <w:pPr>
        <w:spacing w:after="0"/>
        <w:ind w:left="0"/>
        <w:jc w:val="both"/>
      </w:pPr>
      <w:r>
        <w:rPr>
          <w:rFonts w:ascii="Times New Roman"/>
          <w:b w:val="false"/>
          <w:i w:val="false"/>
          <w:color w:val="000000"/>
          <w:sz w:val="28"/>
        </w:rPr>
        <w:t>
      3) iшкi аудит пен iшкi бақылаудың мәнiн және объектiсін;</w:t>
      </w:r>
    </w:p>
    <w:p>
      <w:pPr>
        <w:spacing w:after="0"/>
        <w:ind w:left="0"/>
        <w:jc w:val="both"/>
      </w:pPr>
      <w:r>
        <w:rPr>
          <w:rFonts w:ascii="Times New Roman"/>
          <w:b w:val="false"/>
          <w:i w:val="false"/>
          <w:color w:val="000000"/>
          <w:sz w:val="28"/>
        </w:rPr>
        <w:t>
      4) iшкi аудит қызметiнiң тексеру жүргiзу ауқымын және жиiлiгiн;</w:t>
      </w:r>
    </w:p>
    <w:p>
      <w:pPr>
        <w:spacing w:after="0"/>
        <w:ind w:left="0"/>
        <w:jc w:val="both"/>
      </w:pPr>
      <w:r>
        <w:rPr>
          <w:rFonts w:ascii="Times New Roman"/>
          <w:b w:val="false"/>
          <w:i w:val="false"/>
          <w:color w:val="000000"/>
          <w:sz w:val="28"/>
        </w:rPr>
        <w:t>
      5) iшкi аудиттi жүргiзу кезiнде тәуекелдерді басқару жүйесінің тиімділігін бағалау жүйесін мiндеттi түрде пайдалануды;</w:t>
      </w:r>
    </w:p>
    <w:p>
      <w:pPr>
        <w:spacing w:after="0"/>
        <w:ind w:left="0"/>
        <w:jc w:val="both"/>
      </w:pPr>
      <w:r>
        <w:rPr>
          <w:rFonts w:ascii="Times New Roman"/>
          <w:b w:val="false"/>
          <w:i w:val="false"/>
          <w:color w:val="000000"/>
          <w:sz w:val="28"/>
        </w:rPr>
        <w:t>
      6) iшкi аудиттi жүргiзу жоспарын жасауға қойылатын талаптарды;</w:t>
      </w:r>
    </w:p>
    <w:p>
      <w:pPr>
        <w:spacing w:after="0"/>
        <w:ind w:left="0"/>
        <w:jc w:val="both"/>
      </w:pPr>
      <w:r>
        <w:rPr>
          <w:rFonts w:ascii="Times New Roman"/>
          <w:b w:val="false"/>
          <w:i w:val="false"/>
          <w:color w:val="000000"/>
          <w:sz w:val="28"/>
        </w:rPr>
        <w:t>
      7) iшкi аудит қызметiнiң орталық контрагенттің директорлар кеңесіне тексеру нәтижелерi туралы есептерді ұсыну мерзiмдерiн және нысанын айқындайды.</w:t>
      </w:r>
    </w:p>
    <w:bookmarkStart w:name="z28" w:id="25"/>
    <w:p>
      <w:pPr>
        <w:spacing w:after="0"/>
        <w:ind w:left="0"/>
        <w:jc w:val="both"/>
      </w:pPr>
      <w:r>
        <w:rPr>
          <w:rFonts w:ascii="Times New Roman"/>
          <w:b w:val="false"/>
          <w:i w:val="false"/>
          <w:color w:val="000000"/>
          <w:sz w:val="28"/>
        </w:rPr>
        <w:t>
      20. Орталық контрагенттің қызметiн жүзеге асыру барысында оның органдарымен және (немесе) бөлiмшелерi арасында туындайтын орталық контрагенттегі орын алған және әлеуетті мүдделер қақтығысын басқару рәсiмiне:</w:t>
      </w:r>
    </w:p>
    <w:bookmarkEnd w:id="25"/>
    <w:p>
      <w:pPr>
        <w:spacing w:after="0"/>
        <w:ind w:left="0"/>
        <w:jc w:val="both"/>
      </w:pPr>
      <w:r>
        <w:rPr>
          <w:rFonts w:ascii="Times New Roman"/>
          <w:b w:val="false"/>
          <w:i w:val="false"/>
          <w:color w:val="000000"/>
          <w:sz w:val="28"/>
        </w:rPr>
        <w:t>
      1) төмендегілерді қамтамасыз етуге бағытталған орталық контрагент органдарының шешiм қабылдау рәсiмдерi:</w:t>
      </w:r>
    </w:p>
    <w:p>
      <w:pPr>
        <w:spacing w:after="0"/>
        <w:ind w:left="0"/>
        <w:jc w:val="both"/>
      </w:pPr>
      <w:r>
        <w:rPr>
          <w:rFonts w:ascii="Times New Roman"/>
          <w:b w:val="false"/>
          <w:i w:val="false"/>
          <w:color w:val="000000"/>
          <w:sz w:val="28"/>
        </w:rPr>
        <w:t>
      орталық контрагент органдарының мүшелері қабылдайтын шешiмдердiң тәуелсiздiгiн;</w:t>
      </w:r>
    </w:p>
    <w:p>
      <w:pPr>
        <w:spacing w:after="0"/>
        <w:ind w:left="0"/>
        <w:jc w:val="both"/>
      </w:pPr>
      <w:r>
        <w:rPr>
          <w:rFonts w:ascii="Times New Roman"/>
          <w:b w:val="false"/>
          <w:i w:val="false"/>
          <w:color w:val="000000"/>
          <w:sz w:val="28"/>
        </w:rPr>
        <w:t>
      орталық контрагент органдары мүшелерінің қабылданатын шешімдерге мүдделі болмауын;</w:t>
      </w:r>
    </w:p>
    <w:p>
      <w:pPr>
        <w:spacing w:after="0"/>
        <w:ind w:left="0"/>
        <w:jc w:val="both"/>
      </w:pPr>
      <w:r>
        <w:rPr>
          <w:rFonts w:ascii="Times New Roman"/>
          <w:b w:val="false"/>
          <w:i w:val="false"/>
          <w:color w:val="000000"/>
          <w:sz w:val="28"/>
        </w:rPr>
        <w:t>
      орталық контрагент органдары мүшелерiнiң және қызметкерлерiнiң орталық контрагент органдарының отырыстарын жүргізу барысында алынған ақпаратты тұлғалардың көпшілік тобы арасында осы ақпаратты ресми жариялағанға дейiн, оны өзiнiң жеке мақсатында не үшiншi тұлғалардың мүддесінде пайдалануын шектеу;</w:t>
      </w:r>
    </w:p>
    <w:p>
      <w:pPr>
        <w:spacing w:after="0"/>
        <w:ind w:left="0"/>
        <w:jc w:val="both"/>
      </w:pPr>
      <w:r>
        <w:rPr>
          <w:rFonts w:ascii="Times New Roman"/>
          <w:b w:val="false"/>
          <w:i w:val="false"/>
          <w:color w:val="000000"/>
          <w:sz w:val="28"/>
        </w:rPr>
        <w:t>
      2) орталық контрагент органдарының отырыстарын жүргiзу қорытындылары бойынша хаттамаларды мiндеттi жасау мен сақтау бойынша талаптар;</w:t>
      </w:r>
    </w:p>
    <w:p>
      <w:pPr>
        <w:spacing w:after="0"/>
        <w:ind w:left="0"/>
        <w:jc w:val="both"/>
      </w:pPr>
      <w:r>
        <w:rPr>
          <w:rFonts w:ascii="Times New Roman"/>
          <w:b w:val="false"/>
          <w:i w:val="false"/>
          <w:color w:val="000000"/>
          <w:sz w:val="28"/>
        </w:rPr>
        <w:t>
      3) орталық контрагенттің бөлiмшелерi арасында, орталық контрагенттің органдары мен бөлiмшелерi арасында, орталық контрагенттің бөлімшелері арасында орын алған және әлеуетті мүдделер қақтығысын сипаттау;</w:t>
      </w:r>
    </w:p>
    <w:p>
      <w:pPr>
        <w:spacing w:after="0"/>
        <w:ind w:left="0"/>
        <w:jc w:val="both"/>
      </w:pPr>
      <w:r>
        <w:rPr>
          <w:rFonts w:ascii="Times New Roman"/>
          <w:b w:val="false"/>
          <w:i w:val="false"/>
          <w:color w:val="000000"/>
          <w:sz w:val="28"/>
        </w:rPr>
        <w:t>
      4) орын алған мүдделер қақтығысын реттеу мақсатында орталық контрагенттің жүргiзетiн iс-шаралары, сондай-ақ әлеуетті мүдделер қақтығысын реттеуге бағытталған алдын алу шаралары кіреді.</w:t>
      </w:r>
    </w:p>
    <w:bookmarkStart w:name="z29" w:id="26"/>
    <w:p>
      <w:pPr>
        <w:spacing w:after="0"/>
        <w:ind w:left="0"/>
        <w:jc w:val="both"/>
      </w:pPr>
      <w:r>
        <w:rPr>
          <w:rFonts w:ascii="Times New Roman"/>
          <w:b w:val="false"/>
          <w:i w:val="false"/>
          <w:color w:val="000000"/>
          <w:sz w:val="28"/>
        </w:rPr>
        <w:t>
      21. Инсайдерлiк ақпаратты және бағалы қағаздар нарығында коммерциялық құпияны құрайтын ақпаратты орталық контрагенттің басшылары мен өзге қызметкерлерінің пайдалануын болдырмауды көздейтін рәсімдер:</w:t>
      </w:r>
    </w:p>
    <w:bookmarkEnd w:id="26"/>
    <w:p>
      <w:pPr>
        <w:spacing w:after="0"/>
        <w:ind w:left="0"/>
        <w:jc w:val="both"/>
      </w:pPr>
      <w:r>
        <w:rPr>
          <w:rFonts w:ascii="Times New Roman"/>
          <w:b w:val="false"/>
          <w:i w:val="false"/>
          <w:color w:val="000000"/>
          <w:sz w:val="28"/>
        </w:rPr>
        <w:t>
      1) инсайдерлiк және өзге конфиденциалдық ақпаратты өзiнiң мүддесі немесе үшiншi тұлғалардың мүддесі үшін пайдалалана отырып мәмiлелер жасасуды болдырмауға;</w:t>
      </w:r>
    </w:p>
    <w:p>
      <w:pPr>
        <w:spacing w:after="0"/>
        <w:ind w:left="0"/>
        <w:jc w:val="both"/>
      </w:pPr>
      <w:r>
        <w:rPr>
          <w:rFonts w:ascii="Times New Roman"/>
          <w:b w:val="false"/>
          <w:i w:val="false"/>
          <w:color w:val="000000"/>
          <w:sz w:val="28"/>
        </w:rPr>
        <w:t>
      2) Қазақстан Республикасының заңдарында көзделген жағдайларды қоспағанда, инсайдерлiк немесе оған негізделген ақпаратты үшiншi тұлғаларға беруді және тұлғалардың көпшілік тобы арасында оны таратуды болдырмауға;</w:t>
      </w:r>
    </w:p>
    <w:p>
      <w:pPr>
        <w:spacing w:after="0"/>
        <w:ind w:left="0"/>
        <w:jc w:val="both"/>
      </w:pPr>
      <w:r>
        <w:rPr>
          <w:rFonts w:ascii="Times New Roman"/>
          <w:b w:val="false"/>
          <w:i w:val="false"/>
          <w:color w:val="000000"/>
          <w:sz w:val="28"/>
        </w:rPr>
        <w:t>
      3) орталық контрагент қызметкерлерiнiң инсайдерлiк және өзге конфиденциалдық ақпаратқа негізделген қаржы құралдарымен жасалған мәмілелер туралы ұсынымдарды үшiншi тұлғалар беру мүмкiндiгiн шектеуге;</w:t>
      </w:r>
    </w:p>
    <w:p>
      <w:pPr>
        <w:spacing w:after="0"/>
        <w:ind w:left="0"/>
        <w:jc w:val="both"/>
      </w:pPr>
      <w:r>
        <w:rPr>
          <w:rFonts w:ascii="Times New Roman"/>
          <w:b w:val="false"/>
          <w:i w:val="false"/>
          <w:color w:val="000000"/>
          <w:sz w:val="28"/>
        </w:rPr>
        <w:t xml:space="preserve">
      4) Бағалы қағаздар туралы заңның </w:t>
      </w:r>
      <w:r>
        <w:rPr>
          <w:rFonts w:ascii="Times New Roman"/>
          <w:b w:val="false"/>
          <w:i w:val="false"/>
          <w:color w:val="000000"/>
          <w:sz w:val="28"/>
        </w:rPr>
        <w:t>56-1-бабында</w:t>
      </w:r>
      <w:r>
        <w:rPr>
          <w:rFonts w:ascii="Times New Roman"/>
          <w:b w:val="false"/>
          <w:i w:val="false"/>
          <w:color w:val="000000"/>
          <w:sz w:val="28"/>
        </w:rPr>
        <w:t xml:space="preserve"> көзделген орталық контрагенттің инсайдерлiк ақпаратына иелік етуге және оны пайдалануға бақылау бойынша шараларға бағытталған.</w:t>
      </w:r>
    </w:p>
    <w:bookmarkStart w:name="z30" w:id="27"/>
    <w:p>
      <w:pPr>
        <w:spacing w:after="0"/>
        <w:ind w:left="0"/>
        <w:jc w:val="both"/>
      </w:pPr>
      <w:r>
        <w:rPr>
          <w:rFonts w:ascii="Times New Roman"/>
          <w:b w:val="false"/>
          <w:i w:val="false"/>
          <w:color w:val="000000"/>
          <w:sz w:val="28"/>
        </w:rPr>
        <w:t>
      22. Клирингтік қатысушылар ретінде олардың қызметінің тәртібін реттейтін Қазақстан Республикасының бағалы қағаздар нарығы туралы заңнамасының талаптарына, клирингтік қатысушылардың қаржылық жай-күйіне қойылатын талаптарға сәйкестігі мәніне клирингтік қатысушылардың мониторингі мен бақылау тәртібі және шарттары мыналарды қамтиды:</w:t>
      </w:r>
    </w:p>
    <w:bookmarkEnd w:id="27"/>
    <w:p>
      <w:pPr>
        <w:spacing w:after="0"/>
        <w:ind w:left="0"/>
        <w:jc w:val="both"/>
      </w:pPr>
      <w:r>
        <w:rPr>
          <w:rFonts w:ascii="Times New Roman"/>
          <w:b w:val="false"/>
          <w:i w:val="false"/>
          <w:color w:val="000000"/>
          <w:sz w:val="28"/>
        </w:rPr>
        <w:t>
      1) клирингтік қатысушылар есептерінің және олардың қаржылық жай-күйінің мониторингі үшін қажетті өзге ақпараттың тізбесі;</w:t>
      </w:r>
    </w:p>
    <w:p>
      <w:pPr>
        <w:spacing w:after="0"/>
        <w:ind w:left="0"/>
        <w:jc w:val="both"/>
      </w:pPr>
      <w:r>
        <w:rPr>
          <w:rFonts w:ascii="Times New Roman"/>
          <w:b w:val="false"/>
          <w:i w:val="false"/>
          <w:color w:val="000000"/>
          <w:sz w:val="28"/>
        </w:rPr>
        <w:t>
      2) осы тармақтың 1) тармақшасында көрсетілген есептерді және өзге ақпаратты ұсыну шарттары мен мерзімдері;</w:t>
      </w:r>
    </w:p>
    <w:p>
      <w:pPr>
        <w:spacing w:after="0"/>
        <w:ind w:left="0"/>
        <w:jc w:val="both"/>
      </w:pPr>
      <w:r>
        <w:rPr>
          <w:rFonts w:ascii="Times New Roman"/>
          <w:b w:val="false"/>
          <w:i w:val="false"/>
          <w:color w:val="000000"/>
          <w:sz w:val="28"/>
        </w:rPr>
        <w:t>
      3) орталық контрагенттің осы тармақтың 1) тармақшасында көрсетілген есептерді және өзге ақпаратты қарау тәртібі мен мерзімдері;</w:t>
      </w:r>
    </w:p>
    <w:p>
      <w:pPr>
        <w:spacing w:after="0"/>
        <w:ind w:left="0"/>
        <w:jc w:val="both"/>
      </w:pPr>
      <w:r>
        <w:rPr>
          <w:rFonts w:ascii="Times New Roman"/>
          <w:b w:val="false"/>
          <w:i w:val="false"/>
          <w:color w:val="000000"/>
          <w:sz w:val="28"/>
        </w:rPr>
        <w:t>
      4) клирингтік қатысушылардың қаржылық жай-күйін бағалау әдістемесі;</w:t>
      </w:r>
    </w:p>
    <w:p>
      <w:pPr>
        <w:spacing w:after="0"/>
        <w:ind w:left="0"/>
        <w:jc w:val="both"/>
      </w:pPr>
      <w:r>
        <w:rPr>
          <w:rFonts w:ascii="Times New Roman"/>
          <w:b w:val="false"/>
          <w:i w:val="false"/>
          <w:color w:val="000000"/>
          <w:sz w:val="28"/>
        </w:rPr>
        <w:t>
      5) орталық контрагенттің басшы қызметкерлері мен бөлімшелеріне клирингтік қатысушылардың қаржылық жай-күйі туралы жиынтық есептерді жасау және ұсыну тәртібі мен мерзімдері;</w:t>
      </w:r>
    </w:p>
    <w:p>
      <w:pPr>
        <w:spacing w:after="0"/>
        <w:ind w:left="0"/>
        <w:jc w:val="both"/>
      </w:pPr>
      <w:r>
        <w:rPr>
          <w:rFonts w:ascii="Times New Roman"/>
          <w:b w:val="false"/>
          <w:i w:val="false"/>
          <w:color w:val="000000"/>
          <w:sz w:val="28"/>
        </w:rPr>
        <w:t>
      6) клирингтік қатысушылардың қаржылық жай-күйіне белгіленген талаптарға сәйкес келмейтін клирингтік қатысушыға қатысты шаралар қолдану тәртібі мен шарттары;</w:t>
      </w:r>
    </w:p>
    <w:p>
      <w:pPr>
        <w:spacing w:after="0"/>
        <w:ind w:left="0"/>
        <w:jc w:val="both"/>
      </w:pPr>
      <w:r>
        <w:rPr>
          <w:rFonts w:ascii="Times New Roman"/>
          <w:b w:val="false"/>
          <w:i w:val="false"/>
          <w:color w:val="000000"/>
          <w:sz w:val="28"/>
        </w:rPr>
        <w:t>
      7) клирингтік қатысушылар ретінде олардың қызметінің тәртібін реттейтін Қазақстан Республикасының бағалы қағаздар нарығы туралы заңнамасы және орталық контрагенттің ішкі құжаттарының талаптарына сәйкестігі мәніне клирингтік қатысушылар мониторингінің жылдық жоспары;</w:t>
      </w:r>
    </w:p>
    <w:p>
      <w:pPr>
        <w:spacing w:after="0"/>
        <w:ind w:left="0"/>
        <w:jc w:val="both"/>
      </w:pPr>
      <w:r>
        <w:rPr>
          <w:rFonts w:ascii="Times New Roman"/>
          <w:b w:val="false"/>
          <w:i w:val="false"/>
          <w:color w:val="000000"/>
          <w:sz w:val="28"/>
        </w:rPr>
        <w:t>
      8) клирингтік қатысушылар ретінде олардың қызметінің тәртібін реттейтін Қазақстан Республикасының бағалы қағаздар нарығы туралы заңнамасы және орталық контрагенттің ішкі құжаттарының талаптарына сәйкестігі мәніне клирингтік қатысушыларды тексеру жүргізу тәртібі мен шарттары;</w:t>
      </w:r>
    </w:p>
    <w:p>
      <w:pPr>
        <w:spacing w:after="0"/>
        <w:ind w:left="0"/>
        <w:jc w:val="both"/>
      </w:pPr>
      <w:r>
        <w:rPr>
          <w:rFonts w:ascii="Times New Roman"/>
          <w:b w:val="false"/>
          <w:i w:val="false"/>
          <w:color w:val="000000"/>
          <w:sz w:val="28"/>
        </w:rPr>
        <w:t>
      9) клирингтік қатысушылар ретінде олардың қызметінің тәртібін реттейтін Қазақстан Республикасының бағалы қағаздар нарығы туралы заңнамасы және орталық контрагенттің ішкі құжаттарының талаптарына клирингтік қатысушылардың сәйкестігін бағалау әдістемесі;</w:t>
      </w:r>
    </w:p>
    <w:p>
      <w:pPr>
        <w:spacing w:after="0"/>
        <w:ind w:left="0"/>
        <w:jc w:val="both"/>
      </w:pPr>
      <w:r>
        <w:rPr>
          <w:rFonts w:ascii="Times New Roman"/>
          <w:b w:val="false"/>
          <w:i w:val="false"/>
          <w:color w:val="000000"/>
          <w:sz w:val="28"/>
        </w:rPr>
        <w:t>
      10) клирингтік қатысушыларды тексеру нәтижелерін ресімдеу және клиринг ұйымының басшы қызметкерлері мен бөлімшелеріне осы ақпаратты ұсыну тәртібі мен мерзімдері;</w:t>
      </w:r>
    </w:p>
    <w:p>
      <w:pPr>
        <w:spacing w:after="0"/>
        <w:ind w:left="0"/>
        <w:jc w:val="both"/>
      </w:pPr>
      <w:r>
        <w:rPr>
          <w:rFonts w:ascii="Times New Roman"/>
          <w:b w:val="false"/>
          <w:i w:val="false"/>
          <w:color w:val="000000"/>
          <w:sz w:val="28"/>
        </w:rPr>
        <w:t>
      11) клирингтік қатысушылар ретінде олардың қызметінің тәртібін реттейтін Қазақстан Республикасының бағалы қағаздар нарығы туралы заңнамасы және орталық контрагенттің ішкі құжаттарының талаптарына сәкес келмеген клирингтік қатысушыға қатысты шараларды қолдану тәртібі мен шарттары.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23. Клирингтік қатысушыларға қойылатын талаптарда:</w:t>
      </w:r>
    </w:p>
    <w:bookmarkEnd w:id="28"/>
    <w:p>
      <w:pPr>
        <w:spacing w:after="0"/>
        <w:ind w:left="0"/>
        <w:jc w:val="both"/>
      </w:pPr>
      <w:r>
        <w:rPr>
          <w:rFonts w:ascii="Times New Roman"/>
          <w:b w:val="false"/>
          <w:i w:val="false"/>
          <w:color w:val="000000"/>
          <w:sz w:val="28"/>
        </w:rPr>
        <w:t>
      1) қаржылық жағдайына;</w:t>
      </w:r>
    </w:p>
    <w:p>
      <w:pPr>
        <w:spacing w:after="0"/>
        <w:ind w:left="0"/>
        <w:jc w:val="both"/>
      </w:pPr>
      <w:r>
        <w:rPr>
          <w:rFonts w:ascii="Times New Roman"/>
          <w:b w:val="false"/>
          <w:i w:val="false"/>
          <w:color w:val="000000"/>
          <w:sz w:val="28"/>
        </w:rPr>
        <w:t>
      2) тәуекелдерді басқарудың және ішкі бақылаудың тиісті жүйелерінің болуына;</w:t>
      </w:r>
    </w:p>
    <w:p>
      <w:pPr>
        <w:spacing w:after="0"/>
        <w:ind w:left="0"/>
        <w:jc w:val="both"/>
      </w:pPr>
      <w:r>
        <w:rPr>
          <w:rFonts w:ascii="Times New Roman"/>
          <w:b w:val="false"/>
          <w:i w:val="false"/>
          <w:color w:val="000000"/>
          <w:sz w:val="28"/>
        </w:rPr>
        <w:t>
      3) қор биржасының сауда-саттық жүйесінде жасалатын мәмілелер бойынша міндеттемелерді қамтамасыз ету, оның ішінде осындай мәмілелер бойынша қажетті қамтамасыз етуді қалыптастыру бойынша шараларды сақтауына талаптарды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24. Орталық контрагенттің ақпараттық саясаты мыналардан тұрады, бірақ мыналармен шектелмейді:</w:t>
      </w:r>
    </w:p>
    <w:bookmarkEnd w:id="29"/>
    <w:p>
      <w:pPr>
        <w:spacing w:after="0"/>
        <w:ind w:left="0"/>
        <w:jc w:val="both"/>
      </w:pPr>
      <w:r>
        <w:rPr>
          <w:rFonts w:ascii="Times New Roman"/>
          <w:b w:val="false"/>
          <w:i w:val="false"/>
          <w:color w:val="000000"/>
          <w:sz w:val="28"/>
        </w:rPr>
        <w:t>
      1) орталық контрагенттің ақпаратты жариялау тәртібі мен талаптары;</w:t>
      </w:r>
    </w:p>
    <w:p>
      <w:pPr>
        <w:spacing w:after="0"/>
        <w:ind w:left="0"/>
        <w:jc w:val="both"/>
      </w:pPr>
      <w:r>
        <w:rPr>
          <w:rFonts w:ascii="Times New Roman"/>
          <w:b w:val="false"/>
          <w:i w:val="false"/>
          <w:color w:val="000000"/>
          <w:sz w:val="28"/>
        </w:rPr>
        <w:t>
      2) орталық контрагенттің беделіне ықпал етуі мүмкін ақпаратқа тұрақты мониторинг жүргізу бойынша талаптар;</w:t>
      </w:r>
    </w:p>
    <w:p>
      <w:pPr>
        <w:spacing w:after="0"/>
        <w:ind w:left="0"/>
        <w:jc w:val="both"/>
      </w:pPr>
      <w:r>
        <w:rPr>
          <w:rFonts w:ascii="Times New Roman"/>
          <w:b w:val="false"/>
          <w:i w:val="false"/>
          <w:color w:val="000000"/>
          <w:sz w:val="28"/>
        </w:rPr>
        <w:t>
      3) орталық контрагенттің беделіне зиян келтіруі мүмкін ақпарат пайда болған және таралған жағдайда қажетті шараларды уақытылы қабылдау бойынша талаптар.</w:t>
      </w:r>
    </w:p>
    <w:bookmarkStart w:name="z33" w:id="30"/>
    <w:p>
      <w:pPr>
        <w:spacing w:after="0"/>
        <w:ind w:left="0"/>
        <w:jc w:val="both"/>
      </w:pPr>
      <w:r>
        <w:rPr>
          <w:rFonts w:ascii="Times New Roman"/>
          <w:b w:val="false"/>
          <w:i w:val="false"/>
          <w:color w:val="000000"/>
          <w:sz w:val="28"/>
        </w:rPr>
        <w:t>
      25. Қауіпсіздік техникасы бойынша нұсқаулық:</w:t>
      </w:r>
    </w:p>
    <w:bookmarkEnd w:id="30"/>
    <w:p>
      <w:pPr>
        <w:spacing w:after="0"/>
        <w:ind w:left="0"/>
        <w:jc w:val="both"/>
      </w:pPr>
      <w:r>
        <w:rPr>
          <w:rFonts w:ascii="Times New Roman"/>
          <w:b w:val="false"/>
          <w:i w:val="false"/>
          <w:color w:val="000000"/>
          <w:sz w:val="28"/>
        </w:rPr>
        <w:t>
      1) өрт қауіпсіздігі бойынша негізгі талаптардан;</w:t>
      </w:r>
    </w:p>
    <w:p>
      <w:pPr>
        <w:spacing w:after="0"/>
        <w:ind w:left="0"/>
        <w:jc w:val="both"/>
      </w:pPr>
      <w:r>
        <w:rPr>
          <w:rFonts w:ascii="Times New Roman"/>
          <w:b w:val="false"/>
          <w:i w:val="false"/>
          <w:color w:val="000000"/>
          <w:sz w:val="28"/>
        </w:rPr>
        <w:t>
      2) төтенше жағдайлар және (немесе) күтпеген жағдайлар орын алған жағдайда орталық контрагент қызметкерлерінің іс-әрекеттері сипатталған төтенше жағдайлар және (немесе) күтпеген жағдайлар туындаған жағдайдағы іс-қимылдар жоспарынан;</w:t>
      </w:r>
    </w:p>
    <w:p>
      <w:pPr>
        <w:spacing w:after="0"/>
        <w:ind w:left="0"/>
        <w:jc w:val="both"/>
      </w:pPr>
      <w:r>
        <w:rPr>
          <w:rFonts w:ascii="Times New Roman"/>
          <w:b w:val="false"/>
          <w:i w:val="false"/>
          <w:color w:val="000000"/>
          <w:sz w:val="28"/>
        </w:rPr>
        <w:t>
      3) орталық контрагент қызметкерлерінің бағдарламалық-техникалық кешендерді және өзге жабдықтарды пайдалану тәртібінен;</w:t>
      </w:r>
    </w:p>
    <w:p>
      <w:pPr>
        <w:spacing w:after="0"/>
        <w:ind w:left="0"/>
        <w:jc w:val="both"/>
      </w:pPr>
      <w:r>
        <w:rPr>
          <w:rFonts w:ascii="Times New Roman"/>
          <w:b w:val="false"/>
          <w:i w:val="false"/>
          <w:color w:val="000000"/>
          <w:sz w:val="28"/>
        </w:rPr>
        <w:t>
      4) орталық контрагенттің үй-жайларды жабудың алдында қараудың жүйелілігінен тұрады.</w:t>
      </w:r>
    </w:p>
    <w:bookmarkStart w:name="z34" w:id="31"/>
    <w:p>
      <w:pPr>
        <w:spacing w:after="0"/>
        <w:ind w:left="0"/>
        <w:jc w:val="both"/>
      </w:pPr>
      <w:r>
        <w:rPr>
          <w:rFonts w:ascii="Times New Roman"/>
          <w:b w:val="false"/>
          <w:i w:val="false"/>
          <w:color w:val="000000"/>
          <w:sz w:val="28"/>
        </w:rPr>
        <w:t>
      26. Орталық контрагенттің тәуекелдерді басқару жүйелерін құруды және олардың тиімді жұмыс істеуін қамтамасыз ету мақсатында орталық контрагенттің ұйымдық құрылымында тәуекелдерді басқаруды жүзеге асыратын жеке бөлімше құрылады.</w:t>
      </w:r>
    </w:p>
    <w:bookmarkEnd w:id="31"/>
    <w:bookmarkStart w:name="z35" w:id="32"/>
    <w:p>
      <w:pPr>
        <w:spacing w:after="0"/>
        <w:ind w:left="0"/>
        <w:jc w:val="both"/>
      </w:pPr>
      <w:r>
        <w:rPr>
          <w:rFonts w:ascii="Times New Roman"/>
          <w:b w:val="false"/>
          <w:i w:val="false"/>
          <w:color w:val="000000"/>
          <w:sz w:val="28"/>
        </w:rPr>
        <w:t>
      27. Тәуекелдерді басқару бөлімшесінің басшысы мен қызметкерлері жоғары білімді, кәсіби құзыреті және тәуекелдерді басқару саласында кем дегенде 3 (үш) жыл жұмыс тәжірибесі болады, сондай-ақ Қазақстан Республикасының бағалы қағаздар рыногы туралы заңнамаларын біледі.</w:t>
      </w:r>
    </w:p>
    <w:bookmarkEnd w:id="32"/>
    <w:bookmarkStart w:name="z36" w:id="33"/>
    <w:p>
      <w:pPr>
        <w:spacing w:after="0"/>
        <w:ind w:left="0"/>
        <w:jc w:val="both"/>
      </w:pPr>
      <w:r>
        <w:rPr>
          <w:rFonts w:ascii="Times New Roman"/>
          <w:b w:val="false"/>
          <w:i w:val="false"/>
          <w:color w:val="000000"/>
          <w:sz w:val="28"/>
        </w:rPr>
        <w:t>
      28. Орталық контрагенттің ұйымдық құрылымында негізгі функциясы клирингтік қатысушылар ретінде олардың қызметінің тәртібін реттейтін Қазақстан Республикасының бағалы қағаздар нарығы туралы заңнамасы және орталық контрагенттің ішкі құжаттарының талаптарына сәйкестігі мәніне клирингтік қатысушылардың мониторингі мен бақылау болып табылатын бөлімше қамтылады.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29. Орталық контрагенттің қызметін жүзеге асыру барысында оның органдары және (немесе) бөлімшелері арасында туындайтын мүдделердің орын алған және әлеуетті қақтығысын басқару мақсатында мынадай шаралар қабылданады:</w:t>
      </w:r>
    </w:p>
    <w:bookmarkEnd w:id="34"/>
    <w:p>
      <w:pPr>
        <w:spacing w:after="0"/>
        <w:ind w:left="0"/>
        <w:jc w:val="both"/>
      </w:pPr>
      <w:r>
        <w:rPr>
          <w:rFonts w:ascii="Times New Roman"/>
          <w:b w:val="false"/>
          <w:i w:val="false"/>
          <w:color w:val="000000"/>
          <w:sz w:val="28"/>
        </w:rPr>
        <w:t>
      1) мүдделер қақтығысы орын алған немесе туындауы мүмкін бөлімшелердің орталық контрагенттің түрлі басшы қызметкерлеріне есептілігін қамтамасыз етеді;</w:t>
      </w:r>
    </w:p>
    <w:p>
      <w:pPr>
        <w:spacing w:after="0"/>
        <w:ind w:left="0"/>
        <w:jc w:val="both"/>
      </w:pPr>
      <w:r>
        <w:rPr>
          <w:rFonts w:ascii="Times New Roman"/>
          <w:b w:val="false"/>
          <w:i w:val="false"/>
          <w:color w:val="000000"/>
          <w:sz w:val="28"/>
        </w:rPr>
        <w:t>
      2) орын алған және әлеуетті мүдделер қақтығысын ескере отырып, орталық контрагенттің бөлімшелері мен органдары арасында ақпарат алмасу тәртібі әзірленеді және енгізіледі;</w:t>
      </w:r>
    </w:p>
    <w:p>
      <w:pPr>
        <w:spacing w:after="0"/>
        <w:ind w:left="0"/>
        <w:jc w:val="both"/>
      </w:pPr>
      <w:r>
        <w:rPr>
          <w:rFonts w:ascii="Times New Roman"/>
          <w:b w:val="false"/>
          <w:i w:val="false"/>
          <w:color w:val="000000"/>
          <w:sz w:val="28"/>
        </w:rPr>
        <w:t>
      3) ішкі аудит қызметі орталық контрагенттің бөлімшелері және қызметкерлерінің қызметін орын алған және әлеуетті мүдделер қақтығысын басқару бойынша қабылданған рәсімдерге сәйкестігіне тексеруді үнемі жүзеге асырады.</w:t>
      </w:r>
    </w:p>
    <w:bookmarkStart w:name="z38" w:id="35"/>
    <w:p>
      <w:pPr>
        <w:spacing w:after="0"/>
        <w:ind w:left="0"/>
        <w:jc w:val="both"/>
      </w:pPr>
      <w:r>
        <w:rPr>
          <w:rFonts w:ascii="Times New Roman"/>
          <w:b w:val="false"/>
          <w:i w:val="false"/>
          <w:color w:val="000000"/>
          <w:sz w:val="28"/>
        </w:rPr>
        <w:t>
      30. Орталық контрагент өз қызметінде тәуекелдердің мынадай түрлеріне мониторингті жүзеге асырады:</w:t>
      </w:r>
    </w:p>
    <w:bookmarkEnd w:id="35"/>
    <w:p>
      <w:pPr>
        <w:spacing w:after="0"/>
        <w:ind w:left="0"/>
        <w:jc w:val="both"/>
      </w:pPr>
      <w:r>
        <w:rPr>
          <w:rFonts w:ascii="Times New Roman"/>
          <w:b w:val="false"/>
          <w:i w:val="false"/>
          <w:color w:val="000000"/>
          <w:sz w:val="28"/>
        </w:rPr>
        <w:t>
      1) кредиттік тәуекел;</w:t>
      </w:r>
    </w:p>
    <w:p>
      <w:pPr>
        <w:spacing w:after="0"/>
        <w:ind w:left="0"/>
        <w:jc w:val="both"/>
      </w:pPr>
      <w:r>
        <w:rPr>
          <w:rFonts w:ascii="Times New Roman"/>
          <w:b w:val="false"/>
          <w:i w:val="false"/>
          <w:color w:val="000000"/>
          <w:sz w:val="28"/>
        </w:rPr>
        <w:t>
      2) өтімділікті жоғалту тәуекелі;</w:t>
      </w:r>
    </w:p>
    <w:p>
      <w:pPr>
        <w:spacing w:after="0"/>
        <w:ind w:left="0"/>
        <w:jc w:val="both"/>
      </w:pPr>
      <w:r>
        <w:rPr>
          <w:rFonts w:ascii="Times New Roman"/>
          <w:b w:val="false"/>
          <w:i w:val="false"/>
          <w:color w:val="000000"/>
          <w:sz w:val="28"/>
        </w:rPr>
        <w:t>
      3) баға тәуекелі;</w:t>
      </w:r>
    </w:p>
    <w:p>
      <w:pPr>
        <w:spacing w:after="0"/>
        <w:ind w:left="0"/>
        <w:jc w:val="both"/>
      </w:pPr>
      <w:r>
        <w:rPr>
          <w:rFonts w:ascii="Times New Roman"/>
          <w:b w:val="false"/>
          <w:i w:val="false"/>
          <w:color w:val="000000"/>
          <w:sz w:val="28"/>
        </w:rPr>
        <w:t>
      4) валюталық тәуекел;</w:t>
      </w:r>
    </w:p>
    <w:p>
      <w:pPr>
        <w:spacing w:after="0"/>
        <w:ind w:left="0"/>
        <w:jc w:val="both"/>
      </w:pPr>
      <w:r>
        <w:rPr>
          <w:rFonts w:ascii="Times New Roman"/>
          <w:b w:val="false"/>
          <w:i w:val="false"/>
          <w:color w:val="000000"/>
          <w:sz w:val="28"/>
        </w:rPr>
        <w:t>
      5) пайыздық тәуекел;</w:t>
      </w:r>
    </w:p>
    <w:p>
      <w:pPr>
        <w:spacing w:after="0"/>
        <w:ind w:left="0"/>
        <w:jc w:val="both"/>
      </w:pPr>
      <w:r>
        <w:rPr>
          <w:rFonts w:ascii="Times New Roman"/>
          <w:b w:val="false"/>
          <w:i w:val="false"/>
          <w:color w:val="000000"/>
          <w:sz w:val="28"/>
        </w:rPr>
        <w:t>
      6) операциялық тәуекел;</w:t>
      </w:r>
    </w:p>
    <w:p>
      <w:pPr>
        <w:spacing w:after="0"/>
        <w:ind w:left="0"/>
        <w:jc w:val="both"/>
      </w:pPr>
      <w:r>
        <w:rPr>
          <w:rFonts w:ascii="Times New Roman"/>
          <w:b w:val="false"/>
          <w:i w:val="false"/>
          <w:color w:val="000000"/>
          <w:sz w:val="28"/>
        </w:rPr>
        <w:t>
      7) бедел тәуекелі;</w:t>
      </w:r>
    </w:p>
    <w:p>
      <w:pPr>
        <w:spacing w:after="0"/>
        <w:ind w:left="0"/>
        <w:jc w:val="both"/>
      </w:pPr>
      <w:r>
        <w:rPr>
          <w:rFonts w:ascii="Times New Roman"/>
          <w:b w:val="false"/>
          <w:i w:val="false"/>
          <w:color w:val="000000"/>
          <w:sz w:val="28"/>
        </w:rPr>
        <w:t xml:space="preserve">
      8) құқықтық тәуекел; </w:t>
      </w:r>
    </w:p>
    <w:p>
      <w:pPr>
        <w:spacing w:after="0"/>
        <w:ind w:left="0"/>
        <w:jc w:val="both"/>
      </w:pPr>
      <w:r>
        <w:rPr>
          <w:rFonts w:ascii="Times New Roman"/>
          <w:b w:val="false"/>
          <w:i w:val="false"/>
          <w:color w:val="000000"/>
          <w:sz w:val="28"/>
        </w:rPr>
        <w:t>
      9) орталық контрагенттің тәуекелдерді басқару жөніндегі саясатына сәйкес өзге тәуекелдер.</w:t>
      </w:r>
    </w:p>
    <w:bookmarkStart w:name="z39" w:id="36"/>
    <w:p>
      <w:pPr>
        <w:spacing w:after="0"/>
        <w:ind w:left="0"/>
        <w:jc w:val="both"/>
      </w:pPr>
      <w:r>
        <w:rPr>
          <w:rFonts w:ascii="Times New Roman"/>
          <w:b w:val="false"/>
          <w:i w:val="false"/>
          <w:color w:val="000000"/>
          <w:sz w:val="28"/>
        </w:rPr>
        <w:t>
      31. Тәуекелдерді басқаруды жүзеге асыратын бөлімше клирингтік қатысушылардың мониторингі мен бақылауын жүзеге асыратын бөлімшесімен және орталық контрагенттің құқықтық қамтамасыз ету бөлімшесімен (заң бөлімшесі) бірлесе отырып орталық контрагенттің Қазақстан Республикасының бағалы қағаздар нарығы туралы заңнамасының талаптарын бұзуы, оның ішінде орталық контрагенттің ішкі құжаттарының Қазақстан Республикасының нормативтік құқықтық актілерінің талаптарына сәйкессіздігі, орталық контрагенттің қызмет практикасының оның ішкі құжаттарына сәйкессіздігі салдарынан туындайтын құқықтық тәуекелдерді реттеуді:</w:t>
      </w:r>
    </w:p>
    <w:bookmarkEnd w:id="36"/>
    <w:p>
      <w:pPr>
        <w:spacing w:after="0"/>
        <w:ind w:left="0"/>
        <w:jc w:val="both"/>
      </w:pPr>
      <w:r>
        <w:rPr>
          <w:rFonts w:ascii="Times New Roman"/>
          <w:b w:val="false"/>
          <w:i w:val="false"/>
          <w:color w:val="000000"/>
          <w:sz w:val="28"/>
        </w:rPr>
        <w:t>
      1) орталық контрагент қызметінің Қазақстан Республикасының бағалы қағаздар рыногы туралы заңнамасына, орталық контрагенттің ішкі қағидаларына және рәсімдеріне сәйкес келуін бақылауды жүзеге асыру;</w:t>
      </w:r>
    </w:p>
    <w:p>
      <w:pPr>
        <w:spacing w:after="0"/>
        <w:ind w:left="0"/>
        <w:jc w:val="both"/>
      </w:pPr>
      <w:r>
        <w:rPr>
          <w:rFonts w:ascii="Times New Roman"/>
          <w:b w:val="false"/>
          <w:i w:val="false"/>
          <w:color w:val="000000"/>
          <w:sz w:val="28"/>
        </w:rPr>
        <w:t>
      2) орталық контрагент қызметінің Қазақстан Республикасының бағалы қағаздар рыногы туралы заңнамасымен, орталық контрагенттің ішкі құжаттарымен белгіленген талаптарға сәйкестігіне бақылауды жүзеге асыру;</w:t>
      </w:r>
    </w:p>
    <w:p>
      <w:pPr>
        <w:spacing w:after="0"/>
        <w:ind w:left="0"/>
        <w:jc w:val="both"/>
      </w:pPr>
      <w:r>
        <w:rPr>
          <w:rFonts w:ascii="Times New Roman"/>
          <w:b w:val="false"/>
          <w:i w:val="false"/>
          <w:color w:val="000000"/>
          <w:sz w:val="28"/>
        </w:rPr>
        <w:t>
      3) орталық контрагенттің қызметін реттейтін Қазақстан Республикасының бағалы қағаздар рыногы туралы заңнамасымен орталық контрагент қызметкерлерін тұрақты негізде таныстырып отыру;</w:t>
      </w:r>
    </w:p>
    <w:p>
      <w:pPr>
        <w:spacing w:after="0"/>
        <w:ind w:left="0"/>
        <w:jc w:val="both"/>
      </w:pPr>
      <w:r>
        <w:rPr>
          <w:rFonts w:ascii="Times New Roman"/>
          <w:b w:val="false"/>
          <w:i w:val="false"/>
          <w:color w:val="000000"/>
          <w:sz w:val="28"/>
        </w:rPr>
        <w:t>
      4) орталық контрагенттің Қазақстан Республикасының бағалы қағаздар рыногы туралы заңнамасымен белгіленген талаптарын, оның өзгеруіне байланысты орындамау тәуекелдеріне бағалау жүргізу арқылы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32. Тәуекелдер мониторингін жүргізу, бақылау мен басқарудың мақсаты:</w:t>
      </w:r>
    </w:p>
    <w:bookmarkEnd w:id="37"/>
    <w:p>
      <w:pPr>
        <w:spacing w:after="0"/>
        <w:ind w:left="0"/>
        <w:jc w:val="both"/>
      </w:pPr>
      <w:r>
        <w:rPr>
          <w:rFonts w:ascii="Times New Roman"/>
          <w:b w:val="false"/>
          <w:i w:val="false"/>
          <w:color w:val="000000"/>
          <w:sz w:val="28"/>
        </w:rPr>
        <w:t>
      1) тәуекелдер мен қауіп-қатерлерді уақытылы айқындау;</w:t>
      </w:r>
    </w:p>
    <w:p>
      <w:pPr>
        <w:spacing w:after="0"/>
        <w:ind w:left="0"/>
        <w:jc w:val="both"/>
      </w:pPr>
      <w:r>
        <w:rPr>
          <w:rFonts w:ascii="Times New Roman"/>
          <w:b w:val="false"/>
          <w:i w:val="false"/>
          <w:color w:val="000000"/>
          <w:sz w:val="28"/>
        </w:rPr>
        <w:t>
      2) тәуекелдер көрсеткішінің ең жоғары рұқсат етілген мәндерін бағалаудың сапасын арттыру;</w:t>
      </w:r>
    </w:p>
    <w:p>
      <w:pPr>
        <w:spacing w:after="0"/>
        <w:ind w:left="0"/>
        <w:jc w:val="both"/>
      </w:pPr>
      <w:r>
        <w:rPr>
          <w:rFonts w:ascii="Times New Roman"/>
          <w:b w:val="false"/>
          <w:i w:val="false"/>
          <w:color w:val="000000"/>
          <w:sz w:val="28"/>
        </w:rPr>
        <w:t>
      3) тәуекелдерді басқарудың балама тетіктерін дамыту;</w:t>
      </w:r>
    </w:p>
    <w:p>
      <w:pPr>
        <w:spacing w:after="0"/>
        <w:ind w:left="0"/>
        <w:jc w:val="both"/>
      </w:pPr>
      <w:r>
        <w:rPr>
          <w:rFonts w:ascii="Times New Roman"/>
          <w:b w:val="false"/>
          <w:i w:val="false"/>
          <w:color w:val="000000"/>
          <w:sz w:val="28"/>
        </w:rPr>
        <w:t>
      4) тәуекелдерді барынша азайту және басқару бойынша уақытылы шаралар қабылдауды қамтамасыз ету;</w:t>
      </w:r>
    </w:p>
    <w:p>
      <w:pPr>
        <w:spacing w:after="0"/>
        <w:ind w:left="0"/>
        <w:jc w:val="both"/>
      </w:pPr>
      <w:r>
        <w:rPr>
          <w:rFonts w:ascii="Times New Roman"/>
          <w:b w:val="false"/>
          <w:i w:val="false"/>
          <w:color w:val="000000"/>
          <w:sz w:val="28"/>
        </w:rPr>
        <w:t>
      5) тәуекелдерді басқару жөніндегі бөлімшені қоса алғанда, орталық контрагенттің жеке бөлімшелерін тәуекелдерге мониторинг жүргізу және бағалау процесіне тарту.</w:t>
      </w:r>
    </w:p>
    <w:bookmarkStart w:name="z41" w:id="38"/>
    <w:p>
      <w:pPr>
        <w:spacing w:after="0"/>
        <w:ind w:left="0"/>
        <w:jc w:val="both"/>
      </w:pPr>
      <w:r>
        <w:rPr>
          <w:rFonts w:ascii="Times New Roman"/>
          <w:b w:val="false"/>
          <w:i w:val="false"/>
          <w:color w:val="000000"/>
          <w:sz w:val="28"/>
        </w:rPr>
        <w:t>
      33. Тәуекелдерді айқындау рәсімі тәуекелдерді басқару жөніндегі бөлімшемен бірлесе отырып жүргізген бөлімше қызметіне байланысты орталық контрагенттің әр бөлімшесі жүзеге асыратын мұқият шолу және мониторинг жүргізуге негізделеді.</w:t>
      </w:r>
    </w:p>
    <w:bookmarkEnd w:id="38"/>
    <w:bookmarkStart w:name="z42" w:id="39"/>
    <w:p>
      <w:pPr>
        <w:spacing w:after="0"/>
        <w:ind w:left="0"/>
        <w:jc w:val="both"/>
      </w:pPr>
      <w:r>
        <w:rPr>
          <w:rFonts w:ascii="Times New Roman"/>
          <w:b w:val="false"/>
          <w:i w:val="false"/>
          <w:color w:val="000000"/>
          <w:sz w:val="28"/>
        </w:rPr>
        <w:t>
      34. Айқындалған тәуекелдер мынадай сипаттамалар бойынша талданады:</w:t>
      </w:r>
    </w:p>
    <w:bookmarkEnd w:id="39"/>
    <w:p>
      <w:pPr>
        <w:spacing w:after="0"/>
        <w:ind w:left="0"/>
        <w:jc w:val="both"/>
      </w:pPr>
      <w:r>
        <w:rPr>
          <w:rFonts w:ascii="Times New Roman"/>
          <w:b w:val="false"/>
          <w:i w:val="false"/>
          <w:color w:val="000000"/>
          <w:sz w:val="28"/>
        </w:rPr>
        <w:t>
      1) тәуекелдердің орын алу жиілігі;</w:t>
      </w:r>
    </w:p>
    <w:p>
      <w:pPr>
        <w:spacing w:after="0"/>
        <w:ind w:left="0"/>
        <w:jc w:val="both"/>
      </w:pPr>
      <w:r>
        <w:rPr>
          <w:rFonts w:ascii="Times New Roman"/>
          <w:b w:val="false"/>
          <w:i w:val="false"/>
          <w:color w:val="000000"/>
          <w:sz w:val="28"/>
        </w:rPr>
        <w:t>
      2) тәуекелдердің ықпал ету көлемі.</w:t>
      </w:r>
    </w:p>
    <w:bookmarkStart w:name="z43" w:id="40"/>
    <w:p>
      <w:pPr>
        <w:spacing w:after="0"/>
        <w:ind w:left="0"/>
        <w:jc w:val="both"/>
      </w:pPr>
      <w:r>
        <w:rPr>
          <w:rFonts w:ascii="Times New Roman"/>
          <w:b w:val="false"/>
          <w:i w:val="false"/>
          <w:color w:val="000000"/>
          <w:sz w:val="28"/>
        </w:rPr>
        <w:t>
      35. Талдаудың нәтижелері негізінде рұқсат етілген түрде белгіленген тәуекелдердің мәніне қарай, тәуекелдер қабылданатын және қабылданбайтын боп сараланады.</w:t>
      </w:r>
    </w:p>
    <w:bookmarkEnd w:id="40"/>
    <w:bookmarkStart w:name="z44" w:id="41"/>
    <w:p>
      <w:pPr>
        <w:spacing w:after="0"/>
        <w:ind w:left="0"/>
        <w:jc w:val="both"/>
      </w:pPr>
      <w:r>
        <w:rPr>
          <w:rFonts w:ascii="Times New Roman"/>
          <w:b w:val="false"/>
          <w:i w:val="false"/>
          <w:color w:val="000000"/>
          <w:sz w:val="28"/>
        </w:rPr>
        <w:t>
      36. Тәуекелдерді бағалау және бақылаудың нәтижелері тәуекел көрсеткішінің жалпы (интегралды мәні), сол сияқты орталық контрагент қызметінің әр жеке түрі үшін сандық мәнін айқындау үшін пайдаланылады.</w:t>
      </w:r>
    </w:p>
    <w:bookmarkEnd w:id="41"/>
    <w:bookmarkStart w:name="z45" w:id="42"/>
    <w:p>
      <w:pPr>
        <w:spacing w:after="0"/>
        <w:ind w:left="0"/>
        <w:jc w:val="both"/>
      </w:pPr>
      <w:r>
        <w:rPr>
          <w:rFonts w:ascii="Times New Roman"/>
          <w:b w:val="false"/>
          <w:i w:val="false"/>
          <w:color w:val="000000"/>
          <w:sz w:val="28"/>
        </w:rPr>
        <w:t>
      37. Тәуекелдер көрсеткішінің сандық мәні тәуекелдер көрсеткішінің ең жоғары рұқсат етілген мәнін, тәуекелдердің белгіленген рұқсат етілген көрсеткіштеріне сәйкестігін, сондай-ақ белгіленген рұқсат етілген көрсеткіштерге сәйкес келмейтін тәуекелдерді азайту және басқару үшін тиісті шешімдері қабылдау қажеттігін бағалауға мүмкіндік береді.</w:t>
      </w:r>
    </w:p>
    <w:bookmarkEnd w:id="42"/>
    <w:bookmarkStart w:name="z46" w:id="43"/>
    <w:p>
      <w:pPr>
        <w:spacing w:after="0"/>
        <w:ind w:left="0"/>
        <w:jc w:val="both"/>
      </w:pPr>
      <w:r>
        <w:rPr>
          <w:rFonts w:ascii="Times New Roman"/>
          <w:b w:val="false"/>
          <w:i w:val="false"/>
          <w:color w:val="000000"/>
          <w:sz w:val="28"/>
        </w:rPr>
        <w:t>
      38. Орталық контрагент қызметінің әрбір жеке түріне тән тәуекелдер көрсеткішінің сандық мәнін қызметтің осы түрін жүзеге асыратын орталық контрагенттің бөлімшесі тәуекелдерді басқару жөніндегі бөлімшемен бірлесе отырып есептейді.</w:t>
      </w:r>
    </w:p>
    <w:bookmarkEnd w:id="43"/>
    <w:bookmarkStart w:name="z47" w:id="44"/>
    <w:p>
      <w:pPr>
        <w:spacing w:after="0"/>
        <w:ind w:left="0"/>
        <w:jc w:val="both"/>
      </w:pPr>
      <w:r>
        <w:rPr>
          <w:rFonts w:ascii="Times New Roman"/>
          <w:b w:val="false"/>
          <w:i w:val="false"/>
          <w:color w:val="000000"/>
          <w:sz w:val="28"/>
        </w:rPr>
        <w:t>
      39. Орталық контрагенттің тәуекелдерді басқару жөніндегі бөлімшесі орталық контрагенттің оның клиенттері алдындағы міндеттемелерді орындаудың бұзылуын туғызған техникалық іркілістер және жағдайлар туралы директорлар кеңесі мен басқармаға аталған бұзушылықтар туындаған күннен кейінгі жұмыс күні ішінде хабарлайды.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40. Орталық контрагенттің директорлар кеңесі осы Талаптардың 39-тармағында көрсетілген жағдайлар туралы ақпаратты уәкілетті органға аталған бұзушылықтар туындаған күннен кейінгі жұмыс күнінен кешіктірмей беруді қамтамасыз етеді.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41. Орталық контрагенттің тәуекелдерді басқару жөніндегі бөлімшесі туындаған тәуекелдер жағдайының саны және тәуекелдердің туындауы нәтижесінде шеккен зиянның мөлшері туралы директорлар кеңесі мен басқармаға тоқсан сайын есеп жасайды, сондай-ақ тәуекелдердің өзін, сол сияқты олар туғызған салдарларды азайту бойынша іс-шаралар жоспары ұсынылады.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42. Орталық контрагенттің басқармасы орталық контрагенттің тәуекелдерді басқару жөніндегі бөлімшесінің тәуекелдер көрсеткішінің сандық мәнін бағалау жөніндегі қорытынды негізінде орталық контрагенттің директорлар кеңесі бекітетін тәуекелдер көрсеткіштерінің барынша рұқсат етілген мәндерін айқындайды.</w:t>
      </w:r>
    </w:p>
    <w:bookmarkEnd w:id="47"/>
    <w:bookmarkStart w:name="z51" w:id="48"/>
    <w:p>
      <w:pPr>
        <w:spacing w:after="0"/>
        <w:ind w:left="0"/>
        <w:jc w:val="both"/>
      </w:pPr>
      <w:r>
        <w:rPr>
          <w:rFonts w:ascii="Times New Roman"/>
          <w:b w:val="false"/>
          <w:i w:val="false"/>
          <w:color w:val="000000"/>
          <w:sz w:val="28"/>
        </w:rPr>
        <w:t>
      43. Жаңа тәуекелдер туындаған жағдайда және (немесе) тәуекел көрсеткіштерінің мәндері тәуекелдер көрсеткіштерінің барынша рұқсат етілген мәндерімен сәйкес келмеген жағдайда тәуекелді және (немесе) осы сәйкессіздікті анықтаған орталық контрагенттің бөлімшесі директорлар кеңесін және басқарманы хабардар етеді.</w:t>
      </w:r>
    </w:p>
    <w:bookmarkEnd w:id="48"/>
    <w:bookmarkStart w:name="z52" w:id="49"/>
    <w:p>
      <w:pPr>
        <w:spacing w:after="0"/>
        <w:ind w:left="0"/>
        <w:jc w:val="both"/>
      </w:pPr>
      <w:r>
        <w:rPr>
          <w:rFonts w:ascii="Times New Roman"/>
          <w:b w:val="false"/>
          <w:i w:val="false"/>
          <w:color w:val="000000"/>
          <w:sz w:val="28"/>
        </w:rPr>
        <w:t>
      44. Тәуекелдерді бағалау нәтижелерінің негізінде оларды барынша азайтуға бағытталған ықтимал шаралар айқындалады.</w:t>
      </w:r>
    </w:p>
    <w:bookmarkEnd w:id="49"/>
    <w:bookmarkStart w:name="z53" w:id="50"/>
    <w:p>
      <w:pPr>
        <w:spacing w:after="0"/>
        <w:ind w:left="0"/>
        <w:jc w:val="both"/>
      </w:pPr>
      <w:r>
        <w:rPr>
          <w:rFonts w:ascii="Times New Roman"/>
          <w:b w:val="false"/>
          <w:i w:val="false"/>
          <w:color w:val="000000"/>
          <w:sz w:val="28"/>
        </w:rPr>
        <w:t>
      45. Тәуекелдерді барынша азайту тәуекелдердің мәні тәуекелдер көрсеткiштерiнiң жол берілетін шектi мәнiне жуық болғанда не шектен асып кеткен жағдайларда қажетті болып табылады. Тәуекелдерді барынша азайту мына шаралардың біреуін немесе бірнешеуін қабылдау арқылы жүзеге асырылады:</w:t>
      </w:r>
    </w:p>
    <w:bookmarkEnd w:id="50"/>
    <w:p>
      <w:pPr>
        <w:spacing w:after="0"/>
        <w:ind w:left="0"/>
        <w:jc w:val="both"/>
      </w:pPr>
      <w:r>
        <w:rPr>
          <w:rFonts w:ascii="Times New Roman"/>
          <w:b w:val="false"/>
          <w:i w:val="false"/>
          <w:color w:val="000000"/>
          <w:sz w:val="28"/>
        </w:rPr>
        <w:t>
      1) орталық контрагенттің қызметі барысында оның органдары қабылдайтын барлық шешiмдерге тән тәуекелдер туындаған жағдайда залалды анықтау және барынша азайту бойынша рәсiмдердi жетiлдiру;</w:t>
      </w:r>
    </w:p>
    <w:p>
      <w:pPr>
        <w:spacing w:after="0"/>
        <w:ind w:left="0"/>
        <w:jc w:val="both"/>
      </w:pPr>
      <w:r>
        <w:rPr>
          <w:rFonts w:ascii="Times New Roman"/>
          <w:b w:val="false"/>
          <w:i w:val="false"/>
          <w:color w:val="000000"/>
          <w:sz w:val="28"/>
        </w:rPr>
        <w:t>
      2) тәуекелдерді басқару саласында орталық контрагент қызметкерлерінің біліктілігін арттыру;</w:t>
      </w:r>
    </w:p>
    <w:p>
      <w:pPr>
        <w:spacing w:after="0"/>
        <w:ind w:left="0"/>
        <w:jc w:val="both"/>
      </w:pPr>
      <w:r>
        <w:rPr>
          <w:rFonts w:ascii="Times New Roman"/>
          <w:b w:val="false"/>
          <w:i w:val="false"/>
          <w:color w:val="000000"/>
          <w:sz w:val="28"/>
        </w:rPr>
        <w:t>
      3) ішкі аудит қызметінің орталық контрагент жүйесінің жұмыс істеуіне және (немесе) орталық контрагент бөлімшелерінің жұмысына жоспардан тыс тексерулер жүргізуі;</w:t>
      </w:r>
    </w:p>
    <w:p>
      <w:pPr>
        <w:spacing w:after="0"/>
        <w:ind w:left="0"/>
        <w:jc w:val="both"/>
      </w:pPr>
      <w:r>
        <w:rPr>
          <w:rFonts w:ascii="Times New Roman"/>
          <w:b w:val="false"/>
          <w:i w:val="false"/>
          <w:color w:val="000000"/>
          <w:sz w:val="28"/>
        </w:rPr>
        <w:t>
      4) орталық контрагенттің басшы қызметкерлерінің тарапынан тәуекелдерді барынша азайтуға бағытталған іс-шараларға бақылауды арттыру;</w:t>
      </w:r>
    </w:p>
    <w:p>
      <w:pPr>
        <w:spacing w:after="0"/>
        <w:ind w:left="0"/>
        <w:jc w:val="both"/>
      </w:pPr>
      <w:r>
        <w:rPr>
          <w:rFonts w:ascii="Times New Roman"/>
          <w:b w:val="false"/>
          <w:i w:val="false"/>
          <w:color w:val="000000"/>
          <w:sz w:val="28"/>
        </w:rPr>
        <w:t>
      5) орталық контрагенттің ішкі құжаттарында көзделген жағдайларда орталық контрагенттің қосымша кепілдік беру немесе резервтік қорларын қалыптастыру.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46. Орталық контрагенттің директорлар кеңесі тәуекелдер басталуының орын алған жағдайлары бойынша есептілікті беру тәртібін бекітеді, оның мақсаты болып мыналар табылады:</w:t>
      </w:r>
    </w:p>
    <w:bookmarkEnd w:id="51"/>
    <w:p>
      <w:pPr>
        <w:spacing w:after="0"/>
        <w:ind w:left="0"/>
        <w:jc w:val="both"/>
      </w:pPr>
      <w:r>
        <w:rPr>
          <w:rFonts w:ascii="Times New Roman"/>
          <w:b w:val="false"/>
          <w:i w:val="false"/>
          <w:color w:val="000000"/>
          <w:sz w:val="28"/>
        </w:rPr>
        <w:t>
      1) тәуекелдердің туындау салдарынан болған шығындар туралы ақпараттық базаны қалыптастыру;</w:t>
      </w:r>
    </w:p>
    <w:p>
      <w:pPr>
        <w:spacing w:after="0"/>
        <w:ind w:left="0"/>
        <w:jc w:val="both"/>
      </w:pPr>
      <w:r>
        <w:rPr>
          <w:rFonts w:ascii="Times New Roman"/>
          <w:b w:val="false"/>
          <w:i w:val="false"/>
          <w:color w:val="000000"/>
          <w:sz w:val="28"/>
        </w:rPr>
        <w:t>
      2) тәуекелдердің туындау нәтижесінде шыққан нақты зиян туралы ақпаратты талдау арқылы тәуекелдерді басқару және барынша азайту процестерін жетілдіру;</w:t>
      </w:r>
    </w:p>
    <w:p>
      <w:pPr>
        <w:spacing w:after="0"/>
        <w:ind w:left="0"/>
        <w:jc w:val="both"/>
      </w:pPr>
      <w:r>
        <w:rPr>
          <w:rFonts w:ascii="Times New Roman"/>
          <w:b w:val="false"/>
          <w:i w:val="false"/>
          <w:color w:val="000000"/>
          <w:sz w:val="28"/>
        </w:rPr>
        <w:t>
      3) тәуекелдердің туындау нәтижесінде пайда болатын зиянның құнына кезеңді бағалау жүргізу;</w:t>
      </w:r>
    </w:p>
    <w:p>
      <w:pPr>
        <w:spacing w:after="0"/>
        <w:ind w:left="0"/>
        <w:jc w:val="both"/>
      </w:pPr>
      <w:r>
        <w:rPr>
          <w:rFonts w:ascii="Times New Roman"/>
          <w:b w:val="false"/>
          <w:i w:val="false"/>
          <w:color w:val="000000"/>
          <w:sz w:val="28"/>
        </w:rPr>
        <w:t>
      4) тәуекелдер туындауының маңызды жағдайларына уақтылы және тиісінше ден қоюды қамтамасыз ету;</w:t>
      </w:r>
    </w:p>
    <w:p>
      <w:pPr>
        <w:spacing w:after="0"/>
        <w:ind w:left="0"/>
        <w:jc w:val="both"/>
      </w:pPr>
      <w:r>
        <w:rPr>
          <w:rFonts w:ascii="Times New Roman"/>
          <w:b w:val="false"/>
          <w:i w:val="false"/>
          <w:color w:val="000000"/>
          <w:sz w:val="28"/>
        </w:rPr>
        <w:t>
      5) деректерді жинау, енгізу, өңдеу және сақтау жөніндегі рәсімдерді толық синхрондауды қамтамасыз ету, сондай-ақ ақпаратты қайталау және (немесе) жіберіп алу бойынша қателерді болдырмау.</w:t>
      </w:r>
    </w:p>
    <w:bookmarkStart w:name="z55" w:id="52"/>
    <w:p>
      <w:pPr>
        <w:spacing w:after="0"/>
        <w:ind w:left="0"/>
        <w:jc w:val="both"/>
      </w:pPr>
      <w:r>
        <w:rPr>
          <w:rFonts w:ascii="Times New Roman"/>
          <w:b w:val="false"/>
          <w:i w:val="false"/>
          <w:color w:val="000000"/>
          <w:sz w:val="28"/>
        </w:rPr>
        <w:t>
      47. Орталық контрагенттің активтері есебінен қаржы құралдарымен мәмілелерді жүзеге асыру қызметін ұйымдастыруға қойылатын талаптар орталық контрагенттің активтерін инвестициялау тәртібін айқындайтын орталық контрагенттің ішкі құжаттарында белгіленеді.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48. Орталық контрагенттің директорлар кеңесі ішкі бақылаудың барабар жүйесінің болуын қамтамасыз етеді және орталық контрагент қызметкерлерінің ішкі бақылау саласында өз міндеттерін орындауы үшін жағдай жасайды.</w:t>
      </w:r>
    </w:p>
    <w:bookmarkEnd w:id="53"/>
    <w:bookmarkStart w:name="z57" w:id="54"/>
    <w:p>
      <w:pPr>
        <w:spacing w:after="0"/>
        <w:ind w:left="0"/>
        <w:jc w:val="both"/>
      </w:pPr>
      <w:r>
        <w:rPr>
          <w:rFonts w:ascii="Times New Roman"/>
          <w:b w:val="false"/>
          <w:i w:val="false"/>
          <w:color w:val="000000"/>
          <w:sz w:val="28"/>
        </w:rPr>
        <w:t>
      49. Орталық контрагенттегі ішкі бақылау жүйесі мынадай мақсаттарға:</w:t>
      </w:r>
    </w:p>
    <w:bookmarkEnd w:id="54"/>
    <w:p>
      <w:pPr>
        <w:spacing w:after="0"/>
        <w:ind w:left="0"/>
        <w:jc w:val="both"/>
      </w:pPr>
      <w:r>
        <w:rPr>
          <w:rFonts w:ascii="Times New Roman"/>
          <w:b w:val="false"/>
          <w:i w:val="false"/>
          <w:color w:val="000000"/>
          <w:sz w:val="28"/>
        </w:rPr>
        <w:t xml:space="preserve">
      1) орталық контрагенттің активтерін басқарудың және ықтимал шығындарды айқындаудың тиімділігін тексеруді көздейтін орталық контрагент қызметінің операциялық және қаржылық тиімділігіне; </w:t>
      </w:r>
    </w:p>
    <w:p>
      <w:pPr>
        <w:spacing w:after="0"/>
        <w:ind w:left="0"/>
        <w:jc w:val="both"/>
      </w:pPr>
      <w:r>
        <w:rPr>
          <w:rFonts w:ascii="Times New Roman"/>
          <w:b w:val="false"/>
          <w:i w:val="false"/>
          <w:color w:val="000000"/>
          <w:sz w:val="28"/>
        </w:rPr>
        <w:t>
      2) қаржылық және басқарушылық ақпараттың сенімділігіне, толықтығы мен уақтылығына қолжеткізу үшін құрылады. Аталған мақсат дәйекті және сапалы қаржылық есептіліктің жасалуын және шешімдер қабылдаған кезде орталық контрагент пайдаланған басқа қаржы құжаттарын тексеруді болжайды;</w:t>
      </w:r>
    </w:p>
    <w:p>
      <w:pPr>
        <w:spacing w:after="0"/>
        <w:ind w:left="0"/>
        <w:jc w:val="both"/>
      </w:pPr>
      <w:r>
        <w:rPr>
          <w:rFonts w:ascii="Times New Roman"/>
          <w:b w:val="false"/>
          <w:i w:val="false"/>
          <w:color w:val="000000"/>
          <w:sz w:val="28"/>
        </w:rPr>
        <w:t>
      3) Қазақстан Республикасының бағалы қағаздар нарығы туралы заңнамасының талаптарын, сондай-ақ орталық контрагенттің ішкі саясаты мен рәсімдерін айқындайтын құжаттардың талаптарын сақтауға қолжеткізу үшін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50. Ішкі бақылау жүйесінің жұмысы мынадай үш кезеңнің үздіксіз кезекті түрде жүру қағидаты бойынша қамтамасыз етіледі:</w:t>
      </w:r>
    </w:p>
    <w:bookmarkEnd w:id="55"/>
    <w:p>
      <w:pPr>
        <w:spacing w:after="0"/>
        <w:ind w:left="0"/>
        <w:jc w:val="both"/>
      </w:pPr>
      <w:r>
        <w:rPr>
          <w:rFonts w:ascii="Times New Roman"/>
          <w:b w:val="false"/>
          <w:i w:val="false"/>
          <w:color w:val="000000"/>
          <w:sz w:val="28"/>
        </w:rPr>
        <w:t>
      1) орталық контрагенттің ішкі регламенттеріне рәсімдерді қосу арқылы ішкі бақылау жүйесін (тиімділікті бағалау нәтижелерін есепке ала отырып) қалыптастыру;</w:t>
      </w:r>
    </w:p>
    <w:p>
      <w:pPr>
        <w:spacing w:after="0"/>
        <w:ind w:left="0"/>
        <w:jc w:val="both"/>
      </w:pPr>
      <w:r>
        <w:rPr>
          <w:rFonts w:ascii="Times New Roman"/>
          <w:b w:val="false"/>
          <w:i w:val="false"/>
          <w:color w:val="000000"/>
          <w:sz w:val="28"/>
        </w:rPr>
        <w:t>
      2) жұмыста орталық контрагенттің ішкі құжаттарын орындау;</w:t>
      </w:r>
    </w:p>
    <w:p>
      <w:pPr>
        <w:spacing w:after="0"/>
        <w:ind w:left="0"/>
        <w:jc w:val="both"/>
      </w:pPr>
      <w:r>
        <w:rPr>
          <w:rFonts w:ascii="Times New Roman"/>
          <w:b w:val="false"/>
          <w:i w:val="false"/>
          <w:color w:val="000000"/>
          <w:sz w:val="28"/>
        </w:rPr>
        <w:t>
      3) ішкі бақылау жүйесінің тиімділігіне бағалау жүргізу.</w:t>
      </w:r>
    </w:p>
    <w:bookmarkStart w:name="z59" w:id="56"/>
    <w:p>
      <w:pPr>
        <w:spacing w:after="0"/>
        <w:ind w:left="0"/>
        <w:jc w:val="both"/>
      </w:pPr>
      <w:r>
        <w:rPr>
          <w:rFonts w:ascii="Times New Roman"/>
          <w:b w:val="false"/>
          <w:i w:val="false"/>
          <w:color w:val="000000"/>
          <w:sz w:val="28"/>
        </w:rPr>
        <w:t>
      51. Ішкі бақылау жүйесі мына рәсімдерді жүргізуді қамтиды:</w:t>
      </w:r>
    </w:p>
    <w:bookmarkEnd w:id="56"/>
    <w:p>
      <w:pPr>
        <w:spacing w:after="0"/>
        <w:ind w:left="0"/>
        <w:jc w:val="both"/>
      </w:pPr>
      <w:r>
        <w:rPr>
          <w:rFonts w:ascii="Times New Roman"/>
          <w:b w:val="false"/>
          <w:i w:val="false"/>
          <w:color w:val="000000"/>
          <w:sz w:val="28"/>
        </w:rPr>
        <w:t>
      1) қызметтің жоспарлы көрсеткіштерін қоса бере отырып, орталық контрагент қызметінің ағымдағы нәтижелері туралы есептерді директорлар кеңесіне беру арқылы орталық контрагенттің алға қойылған мақсаттар мен міндеттерге қолжеткізу процесін тоқсан сайын тексеру;</w:t>
      </w:r>
    </w:p>
    <w:p>
      <w:pPr>
        <w:spacing w:after="0"/>
        <w:ind w:left="0"/>
        <w:jc w:val="both"/>
      </w:pPr>
      <w:r>
        <w:rPr>
          <w:rFonts w:ascii="Times New Roman"/>
          <w:b w:val="false"/>
          <w:i w:val="false"/>
          <w:color w:val="000000"/>
          <w:sz w:val="28"/>
        </w:rPr>
        <w:t>
      2) бөлімше қызметінің нәтижелері туралы стандартты жан-жақты есептерді бөлімше басшыларының ай сайынғы негізде тексеруі;</w:t>
      </w:r>
    </w:p>
    <w:p>
      <w:pPr>
        <w:spacing w:after="0"/>
        <w:ind w:left="0"/>
        <w:jc w:val="both"/>
      </w:pPr>
      <w:r>
        <w:rPr>
          <w:rFonts w:ascii="Times New Roman"/>
          <w:b w:val="false"/>
          <w:i w:val="false"/>
          <w:color w:val="000000"/>
          <w:sz w:val="28"/>
        </w:rPr>
        <w:t>
      3) материалдық маңызды ақпаратқа және орталық контрагенттің бағдарламалық-техникалық қамтамасыз етуіне кіру рұқсатын шектеуге бақылау жүргізу мақсатымен тексеру;</w:t>
      </w:r>
    </w:p>
    <w:p>
      <w:pPr>
        <w:spacing w:after="0"/>
        <w:ind w:left="0"/>
        <w:jc w:val="both"/>
      </w:pPr>
      <w:r>
        <w:rPr>
          <w:rFonts w:ascii="Times New Roman"/>
          <w:b w:val="false"/>
          <w:i w:val="false"/>
          <w:color w:val="000000"/>
          <w:sz w:val="28"/>
        </w:rPr>
        <w:t>
      4) тәуекелдің белгіленген лимиттерінің сақталуын тексеру және анықталған сәйкессіздіктерді жою жөніндегі іс-шараларды іске асыру;</w:t>
      </w:r>
    </w:p>
    <w:p>
      <w:pPr>
        <w:spacing w:after="0"/>
        <w:ind w:left="0"/>
        <w:jc w:val="both"/>
      </w:pPr>
      <w:r>
        <w:rPr>
          <w:rFonts w:ascii="Times New Roman"/>
          <w:b w:val="false"/>
          <w:i w:val="false"/>
          <w:color w:val="000000"/>
          <w:sz w:val="28"/>
        </w:rPr>
        <w:t>
      5) міндетті авторизацияны талап ететін операциялардың тізбесіне орталық контрагенттің директорлар кеңесінің талаптар белгілеуі;</w:t>
      </w:r>
    </w:p>
    <w:p>
      <w:pPr>
        <w:spacing w:after="0"/>
        <w:ind w:left="0"/>
        <w:jc w:val="both"/>
      </w:pPr>
      <w:r>
        <w:rPr>
          <w:rFonts w:ascii="Times New Roman"/>
          <w:b w:val="false"/>
          <w:i w:val="false"/>
          <w:color w:val="000000"/>
          <w:sz w:val="28"/>
        </w:rPr>
        <w:t>
      6) операциялардың талаптарын және орталық контрагенттің қызметіне байланысты тәуекелдерді басқару үлгілерін қолдану нәтижелерін тексеру;</w:t>
      </w:r>
    </w:p>
    <w:p>
      <w:pPr>
        <w:spacing w:after="0"/>
        <w:ind w:left="0"/>
        <w:jc w:val="both"/>
      </w:pPr>
      <w:r>
        <w:rPr>
          <w:rFonts w:ascii="Times New Roman"/>
          <w:b w:val="false"/>
          <w:i w:val="false"/>
          <w:color w:val="000000"/>
          <w:sz w:val="28"/>
        </w:rPr>
        <w:t>
      7) жүргізілген операцияларды орталық контрагенттің есебінде және есептілігінде көрсетудің уақтылығын, дұрыстығын, толықтығы мен дәлдігін тексеру;</w:t>
      </w:r>
    </w:p>
    <w:p>
      <w:pPr>
        <w:spacing w:after="0"/>
        <w:ind w:left="0"/>
        <w:jc w:val="both"/>
      </w:pPr>
      <w:r>
        <w:rPr>
          <w:rFonts w:ascii="Times New Roman"/>
          <w:b w:val="false"/>
          <w:i w:val="false"/>
          <w:color w:val="000000"/>
          <w:sz w:val="28"/>
        </w:rPr>
        <w:t>
      8) орталық контрагенттің бағдарламалық-техникалық қамтамасыз етілуінің сенімді жұмыс істеуін тексеру;</w:t>
      </w:r>
    </w:p>
    <w:p>
      <w:pPr>
        <w:spacing w:after="0"/>
        <w:ind w:left="0"/>
        <w:jc w:val="both"/>
      </w:pPr>
      <w:r>
        <w:rPr>
          <w:rFonts w:ascii="Times New Roman"/>
          <w:b w:val="false"/>
          <w:i w:val="false"/>
          <w:color w:val="000000"/>
          <w:sz w:val="28"/>
        </w:rPr>
        <w:t>
      9) орталық контрагентке қатысты қадағалау рәсімдерінің тиімділігін тексеру;</w:t>
      </w:r>
    </w:p>
    <w:p>
      <w:pPr>
        <w:spacing w:after="0"/>
        <w:ind w:left="0"/>
        <w:jc w:val="both"/>
      </w:pPr>
      <w:r>
        <w:rPr>
          <w:rFonts w:ascii="Times New Roman"/>
          <w:b w:val="false"/>
          <w:i w:val="false"/>
          <w:color w:val="000000"/>
          <w:sz w:val="28"/>
        </w:rPr>
        <w:t>
      10) орталық контрагентте орын алған және әлеуетті мүдделер қақтығыстарын басқаруға бағытталған рәсімдердің тиімділігін тексеру;</w:t>
      </w:r>
    </w:p>
    <w:p>
      <w:pPr>
        <w:spacing w:after="0"/>
        <w:ind w:left="0"/>
        <w:jc w:val="both"/>
      </w:pPr>
      <w:r>
        <w:rPr>
          <w:rFonts w:ascii="Times New Roman"/>
          <w:b w:val="false"/>
          <w:i w:val="false"/>
          <w:color w:val="000000"/>
          <w:sz w:val="28"/>
        </w:rPr>
        <w:t>
      11) қаржы құралдарының құны мен кірістілігін бағалау бөлігіндегі әдістемені қоса алғанда, орталық контрагенттің ішкі құжаттарының талаптарына сәйкес жүзеге асырылатын қаржы құралының құнын бағалаудың дұрыстығын және дәйектілігін тоқсан сайынғы тексеру.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60" w:id="57"/>
    <w:p>
      <w:pPr>
        <w:spacing w:after="0"/>
        <w:ind w:left="0"/>
        <w:jc w:val="both"/>
      </w:pPr>
      <w:r>
        <w:rPr>
          <w:rFonts w:ascii="Times New Roman"/>
          <w:b w:val="false"/>
          <w:i w:val="false"/>
          <w:color w:val="000000"/>
          <w:sz w:val="28"/>
        </w:rPr>
        <w:t>
      52. Ішкі бақылау жүйелерінің бірдейлігін және тиімділігін бағалау, орталық контрагент бөлімшелерінің жүктелген функциялар мен міндеттерді орындау жағдайы туралы уақтылы және дәйекті ақпаратпен қамтамасыз ету, сондай-ақ жұмысты жақсарту жөніндегі ұтымды және тиімді ұсынымдарды беру ішкі аудиттің мақсаты болып табылады.</w:t>
      </w:r>
    </w:p>
    <w:bookmarkEnd w:id="57"/>
    <w:bookmarkStart w:name="z61" w:id="58"/>
    <w:p>
      <w:pPr>
        <w:spacing w:after="0"/>
        <w:ind w:left="0"/>
        <w:jc w:val="both"/>
      </w:pPr>
      <w:r>
        <w:rPr>
          <w:rFonts w:ascii="Times New Roman"/>
          <w:b w:val="false"/>
          <w:i w:val="false"/>
          <w:color w:val="000000"/>
          <w:sz w:val="28"/>
        </w:rPr>
        <w:t>
      53. Директорлар кеңесі ішкі бақылау жүйесінің жағдайын объективті бағалау және оларды жетілдіру бойынша ұсынымдар беру жолымен тиісті ішкі бақылау жүйесінің болуын және жұмыс істеуін қамтамасыз ету бойынша функцияларын жүзеге асырған кезде туындайтын міндеттерді шешу мақсатымен ішкі аудит қызметі құрылады.</w:t>
      </w:r>
    </w:p>
    <w:bookmarkEnd w:id="58"/>
    <w:bookmarkStart w:name="z62" w:id="59"/>
    <w:p>
      <w:pPr>
        <w:spacing w:after="0"/>
        <w:ind w:left="0"/>
        <w:jc w:val="both"/>
      </w:pPr>
      <w:r>
        <w:rPr>
          <w:rFonts w:ascii="Times New Roman"/>
          <w:b w:val="false"/>
          <w:i w:val="false"/>
          <w:color w:val="000000"/>
          <w:sz w:val="28"/>
        </w:rPr>
        <w:t>
      54. Ішкі аудит қызметінің қызметкерлеріне орталық контрагенттің басқа бөлімшелері қызметкерлерінің функциялары мен міндеттері жүктелмейді.</w:t>
      </w:r>
    </w:p>
    <w:bookmarkEnd w:id="59"/>
    <w:bookmarkStart w:name="z63" w:id="60"/>
    <w:p>
      <w:pPr>
        <w:spacing w:after="0"/>
        <w:ind w:left="0"/>
        <w:jc w:val="both"/>
      </w:pPr>
      <w:r>
        <w:rPr>
          <w:rFonts w:ascii="Times New Roman"/>
          <w:b w:val="false"/>
          <w:i w:val="false"/>
          <w:color w:val="000000"/>
          <w:sz w:val="28"/>
        </w:rPr>
        <w:t xml:space="preserve">
      55. Ішкі аудит қызметі өз қызметінде "Акционерлік қоғамдар туралы" 2003 жылғы 13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Талаптардың және ішкі бақылау жүйесін ұйымдастыру және ішкі аудит қызметі туралы ережелерді қоса алғанда, орталық контрагенттің ішкі құжаттарының талаптарын басшылыққа алады.</w:t>
      </w:r>
    </w:p>
    <w:bookmarkEnd w:id="60"/>
    <w:bookmarkStart w:name="z64" w:id="61"/>
    <w:p>
      <w:pPr>
        <w:spacing w:after="0"/>
        <w:ind w:left="0"/>
        <w:jc w:val="both"/>
      </w:pPr>
      <w:r>
        <w:rPr>
          <w:rFonts w:ascii="Times New Roman"/>
          <w:b w:val="false"/>
          <w:i w:val="false"/>
          <w:color w:val="000000"/>
          <w:sz w:val="28"/>
        </w:rPr>
        <w:t>
      56. Ішкі аудит қызметі орталық контрагенттің кез келген бөлімшесінің немесе органының қызметіне тексеру тағайындайды. Ішкі аудит қызметі орталық контрагенттің ішкі құжаттарында белгіленген талаптармен және тәртіпте орталық контрагенттің директорлар кеңесінің алдында үнемі есеп береді.</w:t>
      </w:r>
    </w:p>
    <w:bookmarkEnd w:id="61"/>
    <w:bookmarkStart w:name="z65" w:id="62"/>
    <w:p>
      <w:pPr>
        <w:spacing w:after="0"/>
        <w:ind w:left="0"/>
        <w:jc w:val="both"/>
      </w:pPr>
      <w:r>
        <w:rPr>
          <w:rFonts w:ascii="Times New Roman"/>
          <w:b w:val="false"/>
          <w:i w:val="false"/>
          <w:color w:val="000000"/>
          <w:sz w:val="28"/>
        </w:rPr>
        <w:t>
      57. Ішкі аудит қызметі орталық контрагенттің директорлар кеңесі бекітетін ішкі аудиттің жоспары мен ішкі аудит бағдарламасын жасайды.</w:t>
      </w:r>
    </w:p>
    <w:bookmarkEnd w:id="62"/>
    <w:bookmarkStart w:name="z66" w:id="63"/>
    <w:p>
      <w:pPr>
        <w:spacing w:after="0"/>
        <w:ind w:left="0"/>
        <w:jc w:val="both"/>
      </w:pPr>
      <w:r>
        <w:rPr>
          <w:rFonts w:ascii="Times New Roman"/>
          <w:b w:val="false"/>
          <w:i w:val="false"/>
          <w:color w:val="000000"/>
          <w:sz w:val="28"/>
        </w:rPr>
        <w:t>
      58. Ішкі аудит қызметі мынадай мәселелерді:</w:t>
      </w:r>
    </w:p>
    <w:bookmarkEnd w:id="63"/>
    <w:p>
      <w:pPr>
        <w:spacing w:after="0"/>
        <w:ind w:left="0"/>
        <w:jc w:val="both"/>
      </w:pPr>
      <w:r>
        <w:rPr>
          <w:rFonts w:ascii="Times New Roman"/>
          <w:b w:val="false"/>
          <w:i w:val="false"/>
          <w:color w:val="000000"/>
          <w:sz w:val="28"/>
        </w:rPr>
        <w:t>
      1) ішкі бақылау жүйесінің жұмысын;</w:t>
      </w:r>
    </w:p>
    <w:p>
      <w:pPr>
        <w:spacing w:after="0"/>
        <w:ind w:left="0"/>
        <w:jc w:val="both"/>
      </w:pPr>
      <w:r>
        <w:rPr>
          <w:rFonts w:ascii="Times New Roman"/>
          <w:b w:val="false"/>
          <w:i w:val="false"/>
          <w:color w:val="000000"/>
          <w:sz w:val="28"/>
        </w:rPr>
        <w:t>
      2) директорлар кеңесіне ішкі аудит қызметінің жұмысы туралы есептілік дайындауды;</w:t>
      </w:r>
    </w:p>
    <w:p>
      <w:pPr>
        <w:spacing w:after="0"/>
        <w:ind w:left="0"/>
        <w:jc w:val="both"/>
      </w:pPr>
      <w:r>
        <w:rPr>
          <w:rFonts w:ascii="Times New Roman"/>
          <w:b w:val="false"/>
          <w:i w:val="false"/>
          <w:color w:val="000000"/>
          <w:sz w:val="28"/>
        </w:rPr>
        <w:t>
      3) директорлар кеңесіне, басқармаға және сыртқы пайдаланушыларға берілетін орталық контрагенттің қызметі шеңберінде кез келген мәліметтер мен ақпараттың шынайылығы мен дәлдігін;</w:t>
      </w:r>
    </w:p>
    <w:p>
      <w:pPr>
        <w:spacing w:after="0"/>
        <w:ind w:left="0"/>
        <w:jc w:val="both"/>
      </w:pPr>
      <w:r>
        <w:rPr>
          <w:rFonts w:ascii="Times New Roman"/>
          <w:b w:val="false"/>
          <w:i w:val="false"/>
          <w:color w:val="000000"/>
          <w:sz w:val="28"/>
        </w:rPr>
        <w:t>
      4) ішкі немесе сыртқы аудиторлар анықтаған бухгалтерлік есептегі немесе ішкі аудиттегі кез келген елеулі кемшіліктерді;</w:t>
      </w:r>
    </w:p>
    <w:p>
      <w:pPr>
        <w:spacing w:after="0"/>
        <w:ind w:left="0"/>
        <w:jc w:val="both"/>
      </w:pPr>
      <w:r>
        <w:rPr>
          <w:rFonts w:ascii="Times New Roman"/>
          <w:b w:val="false"/>
          <w:i w:val="false"/>
          <w:color w:val="000000"/>
          <w:sz w:val="28"/>
        </w:rPr>
        <w:t>
      5) орталық контрагенттің ішкі құжаттарымен ішкі аудит қызметінің құзыретіне жататын мәселелерді қарайды.</w:t>
      </w:r>
    </w:p>
    <w:bookmarkStart w:name="z67" w:id="64"/>
    <w:p>
      <w:pPr>
        <w:spacing w:after="0"/>
        <w:ind w:left="0"/>
        <w:jc w:val="both"/>
      </w:pPr>
      <w:r>
        <w:rPr>
          <w:rFonts w:ascii="Times New Roman"/>
          <w:b w:val="false"/>
          <w:i w:val="false"/>
          <w:color w:val="000000"/>
          <w:sz w:val="28"/>
        </w:rPr>
        <w:t>
      59. Ішкі аудит қызметінің негізгі функциялары мыналар:</w:t>
      </w:r>
    </w:p>
    <w:bookmarkEnd w:id="64"/>
    <w:p>
      <w:pPr>
        <w:spacing w:after="0"/>
        <w:ind w:left="0"/>
        <w:jc w:val="both"/>
      </w:pPr>
      <w:r>
        <w:rPr>
          <w:rFonts w:ascii="Times New Roman"/>
          <w:b w:val="false"/>
          <w:i w:val="false"/>
          <w:color w:val="000000"/>
          <w:sz w:val="28"/>
        </w:rPr>
        <w:t>
      1) ішкі бақылау жүйесінің тиімділігін тексеру және бағалау;</w:t>
      </w:r>
    </w:p>
    <w:p>
      <w:pPr>
        <w:spacing w:after="0"/>
        <w:ind w:left="0"/>
        <w:jc w:val="both"/>
      </w:pPr>
      <w:r>
        <w:rPr>
          <w:rFonts w:ascii="Times New Roman"/>
          <w:b w:val="false"/>
          <w:i w:val="false"/>
          <w:color w:val="000000"/>
          <w:sz w:val="28"/>
        </w:rPr>
        <w:t>
      2) тәуекелдерді бағалау әдістемесін және тәуекелдерді басқару рәсімдерін (әдістемелерін, бағдарламаларын, қағидаларын, тәртіптерін және операциялар мен мәмілелер жасау рәсімдерін) қолдану толықтығын және тиімділігін тексеру;</w:t>
      </w:r>
    </w:p>
    <w:p>
      <w:pPr>
        <w:spacing w:after="0"/>
        <w:ind w:left="0"/>
        <w:jc w:val="both"/>
      </w:pPr>
      <w:r>
        <w:rPr>
          <w:rFonts w:ascii="Times New Roman"/>
          <w:b w:val="false"/>
          <w:i w:val="false"/>
          <w:color w:val="000000"/>
          <w:sz w:val="28"/>
        </w:rPr>
        <w:t>
      3) деректер базасының тұтастығы мен оларды рұқсат берілмеген кіруден қорғауды, күтпеген жағдайларда іс-қимыл жоспарларының болуын қоса алғанда, орталық контрагенттің ішкі жүйесі жұмысының тиімділігін тексеру;</w:t>
      </w:r>
    </w:p>
    <w:p>
      <w:pPr>
        <w:spacing w:after="0"/>
        <w:ind w:left="0"/>
        <w:jc w:val="both"/>
      </w:pPr>
      <w:r>
        <w:rPr>
          <w:rFonts w:ascii="Times New Roman"/>
          <w:b w:val="false"/>
          <w:i w:val="false"/>
          <w:color w:val="000000"/>
          <w:sz w:val="28"/>
        </w:rPr>
        <w:t>
      4) бухгалтерлік есеп пен есептіліктің шынайылығын, толықтығын, объективтілігі мен уақтылығын, сондай-ақ ақпарат пен есептілікті жинақтау мен берудің сенімділігі мен уақтылығын тексеру;</w:t>
      </w:r>
    </w:p>
    <w:p>
      <w:pPr>
        <w:spacing w:after="0"/>
        <w:ind w:left="0"/>
        <w:jc w:val="both"/>
      </w:pPr>
      <w:r>
        <w:rPr>
          <w:rFonts w:ascii="Times New Roman"/>
          <w:b w:val="false"/>
          <w:i w:val="false"/>
          <w:color w:val="000000"/>
          <w:sz w:val="28"/>
        </w:rPr>
        <w:t>
      5) Қазақстан Республикасының бағалы қағаздар нарығы туралы заңнамасына сәйкес өзге мәліметтердің шынайылығын, толықтығын, объективтілігі мен уақтылы ұсынылуын тексеру;</w:t>
      </w:r>
    </w:p>
    <w:p>
      <w:pPr>
        <w:spacing w:after="0"/>
        <w:ind w:left="0"/>
        <w:jc w:val="both"/>
      </w:pPr>
      <w:r>
        <w:rPr>
          <w:rFonts w:ascii="Times New Roman"/>
          <w:b w:val="false"/>
          <w:i w:val="false"/>
          <w:color w:val="000000"/>
          <w:sz w:val="28"/>
        </w:rPr>
        <w:t>
      6) орталық контрагент мүлігінің сақталуын қамтамасыз етудің қолданылып жүрген тәсілдерін (әдістерін) тексеру;</w:t>
      </w:r>
    </w:p>
    <w:p>
      <w:pPr>
        <w:spacing w:after="0"/>
        <w:ind w:left="0"/>
        <w:jc w:val="both"/>
      </w:pPr>
      <w:r>
        <w:rPr>
          <w:rFonts w:ascii="Times New Roman"/>
          <w:b w:val="false"/>
          <w:i w:val="false"/>
          <w:color w:val="000000"/>
          <w:sz w:val="28"/>
        </w:rPr>
        <w:t>
      7) орталық контрагент жасаған операциялардың экономикалық мақсатқа сай екенін және тиімділігін бағалау;</w:t>
      </w:r>
    </w:p>
    <w:p>
      <w:pPr>
        <w:spacing w:after="0"/>
        <w:ind w:left="0"/>
        <w:jc w:val="both"/>
      </w:pPr>
      <w:r>
        <w:rPr>
          <w:rFonts w:ascii="Times New Roman"/>
          <w:b w:val="false"/>
          <w:i w:val="false"/>
          <w:color w:val="000000"/>
          <w:sz w:val="28"/>
        </w:rPr>
        <w:t>
      8) ішкі бақылау процестері мен рәсімдерін тексеру;</w:t>
      </w:r>
    </w:p>
    <w:p>
      <w:pPr>
        <w:spacing w:after="0"/>
        <w:ind w:left="0"/>
        <w:jc w:val="both"/>
      </w:pPr>
      <w:r>
        <w:rPr>
          <w:rFonts w:ascii="Times New Roman"/>
          <w:b w:val="false"/>
          <w:i w:val="false"/>
          <w:color w:val="000000"/>
          <w:sz w:val="28"/>
        </w:rPr>
        <w:t>
      9) Қазақстан Республикасының бағалы қағаздар нарығы туралы заңнамасы талаптарының сақталуын бақылау мақсатында құрылған жүйелерді тексеру;</w:t>
      </w:r>
    </w:p>
    <w:p>
      <w:pPr>
        <w:spacing w:after="0"/>
        <w:ind w:left="0"/>
        <w:jc w:val="both"/>
      </w:pPr>
      <w:r>
        <w:rPr>
          <w:rFonts w:ascii="Times New Roman"/>
          <w:b w:val="false"/>
          <w:i w:val="false"/>
          <w:color w:val="000000"/>
          <w:sz w:val="28"/>
        </w:rPr>
        <w:t>
      10) орталық контрагенттің қызметкерлерді басқару қызметінің жұмысын бағалау;</w:t>
      </w:r>
    </w:p>
    <w:p>
      <w:pPr>
        <w:spacing w:after="0"/>
        <w:ind w:left="0"/>
        <w:jc w:val="both"/>
      </w:pPr>
      <w:r>
        <w:rPr>
          <w:rFonts w:ascii="Times New Roman"/>
          <w:b w:val="false"/>
          <w:i w:val="false"/>
          <w:color w:val="000000"/>
          <w:sz w:val="28"/>
        </w:rPr>
        <w:t>
      11) орталық контрагенттің бөлімшелерін тексеру нәтижелері бойынша орталық контрагенттің бөлімшелері мен органдары қабылдаған тәуекелдер деңгейін төмендетуді қамтамасыз ететін шаралардың тиімділігіне бақылауды жүзеге асыру;</w:t>
      </w:r>
    </w:p>
    <w:p>
      <w:pPr>
        <w:spacing w:after="0"/>
        <w:ind w:left="0"/>
        <w:jc w:val="both"/>
      </w:pPr>
      <w:r>
        <w:rPr>
          <w:rFonts w:ascii="Times New Roman"/>
          <w:b w:val="false"/>
          <w:i w:val="false"/>
          <w:color w:val="000000"/>
          <w:sz w:val="28"/>
        </w:rPr>
        <w:t>
      12) орталық контрагенттің ішкі құжаттарында ішкі аудит қызметінің құзыретіне жатқызылған басқа мәселелерді қарау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контрагенттің</w:t>
            </w:r>
            <w:r>
              <w:br/>
            </w:r>
            <w:r>
              <w:rPr>
                <w:rFonts w:ascii="Times New Roman"/>
                <w:b w:val="false"/>
                <w:i w:val="false"/>
                <w:color w:val="000000"/>
                <w:sz w:val="20"/>
              </w:rPr>
              <w:t>тәуекелдерді басқару жүйесіне</w:t>
            </w:r>
            <w:r>
              <w:br/>
            </w:r>
            <w:r>
              <w:rPr>
                <w:rFonts w:ascii="Times New Roman"/>
                <w:b w:val="false"/>
                <w:i w:val="false"/>
                <w:color w:val="000000"/>
                <w:sz w:val="20"/>
              </w:rPr>
              <w:t>орталық контрагенттің</w:t>
            </w:r>
            <w:r>
              <w:br/>
            </w:r>
            <w:r>
              <w:rPr>
                <w:rFonts w:ascii="Times New Roman"/>
                <w:b w:val="false"/>
                <w:i w:val="false"/>
                <w:color w:val="000000"/>
                <w:sz w:val="20"/>
              </w:rPr>
              <w:t>тәуекелдері мониторингінің,</w:t>
            </w:r>
            <w:r>
              <w:br/>
            </w:r>
            <w:r>
              <w:rPr>
                <w:rFonts w:ascii="Times New Roman"/>
                <w:b w:val="false"/>
                <w:i w:val="false"/>
                <w:color w:val="000000"/>
                <w:sz w:val="20"/>
              </w:rPr>
              <w:t>оларды бақылау мен басқарудың</w:t>
            </w:r>
            <w:r>
              <w:br/>
            </w:r>
            <w:r>
              <w:rPr>
                <w:rFonts w:ascii="Times New Roman"/>
                <w:b w:val="false"/>
                <w:i w:val="false"/>
                <w:color w:val="000000"/>
                <w:sz w:val="20"/>
              </w:rPr>
              <w:t>шарттары мен тәртібіне</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 жыл үшін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(орталық контрагенттің атауы)</w:t>
      </w:r>
    </w:p>
    <w:p>
      <w:pPr>
        <w:spacing w:after="0"/>
        <w:ind w:left="0"/>
        <w:jc w:val="both"/>
      </w:pPr>
      <w:r>
        <w:rPr>
          <w:rFonts w:ascii="Times New Roman"/>
          <w:b w:val="false"/>
          <w:i w:val="false"/>
          <w:color w:val="000000"/>
          <w:sz w:val="28"/>
        </w:rPr>
        <w:t>
      тәуекелдерді басқару жүйесіне қойылатын талаптардың орындалуын бағалау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627"/>
        <w:gridCol w:w="2933"/>
        <w:gridCol w:w="794"/>
        <w:gridCol w:w="4663"/>
        <w:gridCol w:w="795"/>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тиісті абзацының, тармақшасының, тармағының нұсқауы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абзацының, тармақшасының, тармағының талаптарына сәйкестігін бағалау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бойынша қажетті іс-шаралар, жауапты адамдар мен іс-шараларды орындау мерзімдері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Тәуекелдерді басқару жүйелеріне қойылатын талаптарға сәйкестігін бағалау: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Кестені толтыру бойынша түсініктеме</w:t>
      </w:r>
    </w:p>
    <w:p>
      <w:pPr>
        <w:spacing w:after="0"/>
        <w:ind w:left="0"/>
        <w:jc w:val="both"/>
      </w:pPr>
      <w:r>
        <w:rPr>
          <w:rFonts w:ascii="Times New Roman"/>
          <w:b w:val="false"/>
          <w:i w:val="false"/>
          <w:color w:val="000000"/>
          <w:sz w:val="28"/>
        </w:rPr>
        <w:t>
      Тәуекелдерді басқару жүйесіне қойылатын талаптарға сәйкестігін бағалау мынадай критерийлердің үш балдық жүйесі бойынша жүзеге асырылады: талапқа сай, ішінара талапқа сай, талапқа сай емес:</w:t>
      </w:r>
    </w:p>
    <w:p>
      <w:pPr>
        <w:spacing w:after="0"/>
        <w:ind w:left="0"/>
        <w:jc w:val="both"/>
      </w:pPr>
      <w:r>
        <w:rPr>
          <w:rFonts w:ascii="Times New Roman"/>
          <w:b w:val="false"/>
          <w:i w:val="false"/>
          <w:color w:val="000000"/>
          <w:sz w:val="28"/>
        </w:rPr>
        <w:t>
      1) "талапқа сай" бағалау орталық контрагент тәуекелдерді басқару жүйелеріне қойылатын талаптардың критерийлерін қандай да бір маңызды кемшіліктерсіз орындауы кезінде шығарылады.</w:t>
      </w:r>
    </w:p>
    <w:p>
      <w:pPr>
        <w:spacing w:after="0"/>
        <w:ind w:left="0"/>
        <w:jc w:val="both"/>
      </w:pPr>
      <w:r>
        <w:rPr>
          <w:rFonts w:ascii="Times New Roman"/>
          <w:b w:val="false"/>
          <w:i w:val="false"/>
          <w:color w:val="000000"/>
          <w:sz w:val="28"/>
        </w:rPr>
        <w:t>
      2) "ішінара талапқа сай" бағалау орталық контрагент тәуекелдерді басқару жүйелеріне қойылатын талаптардың нақты критерийін сақтауда қолжеткізу мүмкіндігіне қатысты маңызды күмән пайда болуына жеткілікті болып есептелмейтін кемшіліктер анықталған кезде шығарылады.</w:t>
      </w:r>
    </w:p>
    <w:p>
      <w:pPr>
        <w:spacing w:after="0"/>
        <w:ind w:left="0"/>
        <w:jc w:val="both"/>
      </w:pPr>
      <w:r>
        <w:rPr>
          <w:rFonts w:ascii="Times New Roman"/>
          <w:b w:val="false"/>
          <w:i w:val="false"/>
          <w:color w:val="000000"/>
          <w:sz w:val="28"/>
        </w:rPr>
        <w:t>
      3) "талапқа сай емес" бағалау орталық контрагент тәуекелдерді басқару жүйелеріне қойылатын талаптардың критерийін орындамаған кезде шығарылады.</w:t>
      </w:r>
    </w:p>
    <w:p>
      <w:pPr>
        <w:spacing w:after="0"/>
        <w:ind w:left="0"/>
        <w:jc w:val="both"/>
      </w:pPr>
      <w:r>
        <w:rPr>
          <w:rFonts w:ascii="Times New Roman"/>
          <w:b w:val="false"/>
          <w:i w:val="false"/>
          <w:color w:val="000000"/>
          <w:sz w:val="28"/>
        </w:rPr>
        <w:t>
      Егер тәуекелдерді басқару жүйелеріне қойылатын жекелеген талаптар орталық контрагентке қатысты қолданылмайтын жағдайда, талаптың осы критерийіне сәйкестігін бағалау жүзеге асырылмайды және "қолданылмайды" деген тиісті жазбамен белгіленеді.</w:t>
      </w:r>
    </w:p>
    <w:p>
      <w:pPr>
        <w:spacing w:after="0"/>
        <w:ind w:left="0"/>
        <w:jc w:val="both"/>
      </w:pPr>
      <w:r>
        <w:rPr>
          <w:rFonts w:ascii="Times New Roman"/>
          <w:b w:val="false"/>
          <w:i w:val="false"/>
          <w:color w:val="000000"/>
          <w:sz w:val="28"/>
        </w:rPr>
        <w:t>
      Орталық контрагенттің бірінші басшысы (не оның орнындағы адам</w:t>
      </w:r>
    </w:p>
    <w:p>
      <w:pPr>
        <w:spacing w:after="0"/>
        <w:ind w:left="0"/>
        <w:jc w:val="both"/>
      </w:pPr>
      <w:r>
        <w:rPr>
          <w:rFonts w:ascii="Times New Roman"/>
          <w:b w:val="false"/>
          <w:i w:val="false"/>
          <w:color w:val="000000"/>
          <w:sz w:val="28"/>
        </w:rPr>
        <w:t>
      _____________________________________ ______________ ________________</w:t>
      </w:r>
    </w:p>
    <w:p>
      <w:pPr>
        <w:spacing w:after="0"/>
        <w:ind w:left="0"/>
        <w:jc w:val="both"/>
      </w:pPr>
      <w:r>
        <w:rPr>
          <w:rFonts w:ascii="Times New Roman"/>
          <w:b w:val="false"/>
          <w:i w:val="false"/>
          <w:color w:val="000000"/>
          <w:sz w:val="28"/>
        </w:rPr>
        <w:t>
      тегі, аты, әкесінің аты (бар болса)       қолы            күні</w:t>
      </w:r>
    </w:p>
    <w:p>
      <w:pPr>
        <w:spacing w:after="0"/>
        <w:ind w:left="0"/>
        <w:jc w:val="both"/>
      </w:pPr>
      <w:r>
        <w:rPr>
          <w:rFonts w:ascii="Times New Roman"/>
          <w:b w:val="false"/>
          <w:i w:val="false"/>
          <w:color w:val="000000"/>
          <w:sz w:val="28"/>
        </w:rPr>
        <w:t>
      Тәуекелдерді басқаруды жүзеге асыратын бөлімшенің басшысы</w:t>
      </w:r>
    </w:p>
    <w:p>
      <w:pPr>
        <w:spacing w:after="0"/>
        <w:ind w:left="0"/>
        <w:jc w:val="both"/>
      </w:pPr>
      <w:r>
        <w:rPr>
          <w:rFonts w:ascii="Times New Roman"/>
          <w:b w:val="false"/>
          <w:i w:val="false"/>
          <w:color w:val="000000"/>
          <w:sz w:val="28"/>
        </w:rPr>
        <w:t>
      _____________________________________ ______________ ________________</w:t>
      </w:r>
    </w:p>
    <w:p>
      <w:pPr>
        <w:spacing w:after="0"/>
        <w:ind w:left="0"/>
        <w:jc w:val="both"/>
      </w:pPr>
      <w:r>
        <w:rPr>
          <w:rFonts w:ascii="Times New Roman"/>
          <w:b w:val="false"/>
          <w:i w:val="false"/>
          <w:color w:val="000000"/>
          <w:sz w:val="28"/>
        </w:rPr>
        <w:t>
      тегі, аты, әкесінің аты (бар болса)       қолы            күні</w:t>
      </w:r>
    </w:p>
    <w:p>
      <w:pPr>
        <w:spacing w:after="0"/>
        <w:ind w:left="0"/>
        <w:jc w:val="both"/>
      </w:pPr>
      <w:r>
        <w:rPr>
          <w:rFonts w:ascii="Times New Roman"/>
          <w:b w:val="false"/>
          <w:i w:val="false"/>
          <w:color w:val="000000"/>
          <w:sz w:val="28"/>
        </w:rPr>
        <w:t>
      Ішкі аудит қызметінің басшысы</w:t>
      </w:r>
    </w:p>
    <w:p>
      <w:pPr>
        <w:spacing w:after="0"/>
        <w:ind w:left="0"/>
        <w:jc w:val="both"/>
      </w:pPr>
      <w:r>
        <w:rPr>
          <w:rFonts w:ascii="Times New Roman"/>
          <w:b w:val="false"/>
          <w:i w:val="false"/>
          <w:color w:val="000000"/>
          <w:sz w:val="28"/>
        </w:rPr>
        <w:t>
      _____________________________________ ______________ ________________</w:t>
      </w:r>
    </w:p>
    <w:p>
      <w:pPr>
        <w:spacing w:after="0"/>
        <w:ind w:left="0"/>
        <w:jc w:val="both"/>
      </w:pPr>
      <w:r>
        <w:rPr>
          <w:rFonts w:ascii="Times New Roman"/>
          <w:b w:val="false"/>
          <w:i w:val="false"/>
          <w:color w:val="000000"/>
          <w:sz w:val="28"/>
        </w:rPr>
        <w:t>
      тегі, аты, әкесінің аты (бар болса)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