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2c40" w14:textId="eeb2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56 қаулысы. Қазақстан Республикасының Әділет министрлігінде 2016 жылы 24 ақпанда № 13216 болып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«Екiншi деңгейдегi банктер үшiн пруденциалдық нормативтер есеп айырысуларының нормативтiк мәнi мен әдiстемесi туралы нұсқаулықты бекіту туралы» Қазақстан Республикасы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пруденциалдық нормативтер бойынша есеп айырысудың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Меншікті капитал жеке тұлғалардың теңгедегі және шетел валютасындағы депозиттерінің сомасы мен бухгалтерлік баланстың деректеріне сәйкес 5,5-ке көбейтілген меншікті капиталдың арасындағы оң айырмасын шегергендегі бірінші деңгейдегі капитал мен екінші деңгейдегі капиталдың сомасы ретінде есептеледі.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меншікті капиталды есептеу мақсаттары үшін:</w:t>
      </w:r>
      <w:r>
        <w:br/>
      </w:r>
      <w:r>
        <w:rPr>
          <w:rFonts w:ascii="Times New Roman"/>
          <w:b w:val="false"/>
          <w:i w:val="false"/>
          <w:color w:val="000000"/>
          <w:sz w:val="28"/>
        </w:rPr>
        <w:t>
</w:t>
      </w:r>
      <w:r>
        <w:rPr>
          <w:rFonts w:ascii="Times New Roman"/>
          <w:b w:val="false"/>
          <w:i w:val="false"/>
          <w:color w:val="000000"/>
          <w:sz w:val="28"/>
        </w:rPr>
        <w:t>
      жеке тұлғалардың шетел валютасындағы депозиттерінің сомасы Қазақстан Республикасының Ұлттық Банкі 2016 жылғы 1 қаңтарда белгілеген теңгенің шетел валютасына қатысты ресми бағамы бойынша есептеледі;</w:t>
      </w:r>
      <w:r>
        <w:br/>
      </w:r>
      <w:r>
        <w:rPr>
          <w:rFonts w:ascii="Times New Roman"/>
          <w:b w:val="false"/>
          <w:i w:val="false"/>
          <w:color w:val="000000"/>
          <w:sz w:val="28"/>
        </w:rPr>
        <w:t>
</w:t>
      </w:r>
      <w:r>
        <w:rPr>
          <w:rFonts w:ascii="Times New Roman"/>
          <w:b w:val="false"/>
          <w:i w:val="false"/>
          <w:color w:val="000000"/>
          <w:sz w:val="28"/>
        </w:rPr>
        <w:t>
      жеке тұлғалардың депозиттері сомасы мен бухгалтерлік баланстың деректеріне сәйкес меншікті капиталдың арасындағы оң айырма мынадай мөлшерде енгізіледі: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 0 (нөл) пайыз;</w:t>
      </w:r>
      <w:r>
        <w:br/>
      </w:r>
      <w:r>
        <w:rPr>
          <w:rFonts w:ascii="Times New Roman"/>
          <w:b w:val="false"/>
          <w:i w:val="false"/>
          <w:color w:val="000000"/>
          <w:sz w:val="28"/>
        </w:rPr>
        <w:t>
</w:t>
      </w:r>
      <w:r>
        <w:rPr>
          <w:rFonts w:ascii="Times New Roman"/>
          <w:b w:val="false"/>
          <w:i w:val="false"/>
          <w:color w:val="000000"/>
          <w:sz w:val="28"/>
        </w:rPr>
        <w:t>
      2016 жылғы 1 ақпаннан бастап – 20 (жиырма) пайыз;</w:t>
      </w:r>
      <w:r>
        <w:br/>
      </w:r>
      <w:r>
        <w:rPr>
          <w:rFonts w:ascii="Times New Roman"/>
          <w:b w:val="false"/>
          <w:i w:val="false"/>
          <w:color w:val="000000"/>
          <w:sz w:val="28"/>
        </w:rPr>
        <w:t>
</w:t>
      </w:r>
      <w:r>
        <w:rPr>
          <w:rFonts w:ascii="Times New Roman"/>
          <w:b w:val="false"/>
          <w:i w:val="false"/>
          <w:color w:val="000000"/>
          <w:sz w:val="28"/>
        </w:rPr>
        <w:t xml:space="preserve">
      2016 жылғы 1 наурыздан бастап – 40 (қырық) пайыз; </w:t>
      </w:r>
      <w:r>
        <w:br/>
      </w:r>
      <w:r>
        <w:rPr>
          <w:rFonts w:ascii="Times New Roman"/>
          <w:b w:val="false"/>
          <w:i w:val="false"/>
          <w:color w:val="000000"/>
          <w:sz w:val="28"/>
        </w:rPr>
        <w:t>
</w:t>
      </w:r>
      <w:r>
        <w:rPr>
          <w:rFonts w:ascii="Times New Roman"/>
          <w:b w:val="false"/>
          <w:i w:val="false"/>
          <w:color w:val="000000"/>
          <w:sz w:val="28"/>
        </w:rPr>
        <w:t>
      2016 жылғы 1 сәуірден бастап – 60 (алпыс) пайыз;</w:t>
      </w:r>
      <w:r>
        <w:br/>
      </w:r>
      <w:r>
        <w:rPr>
          <w:rFonts w:ascii="Times New Roman"/>
          <w:b w:val="false"/>
          <w:i w:val="false"/>
          <w:color w:val="000000"/>
          <w:sz w:val="28"/>
        </w:rPr>
        <w:t>
</w:t>
      </w:r>
      <w:r>
        <w:rPr>
          <w:rFonts w:ascii="Times New Roman"/>
          <w:b w:val="false"/>
          <w:i w:val="false"/>
          <w:color w:val="000000"/>
          <w:sz w:val="28"/>
        </w:rPr>
        <w:t>
      2016 жылғы 1 мамырдан бастап – 80 (сексен) пайыз;</w:t>
      </w:r>
      <w:r>
        <w:br/>
      </w:r>
      <w:r>
        <w:rPr>
          <w:rFonts w:ascii="Times New Roman"/>
          <w:b w:val="false"/>
          <w:i w:val="false"/>
          <w:color w:val="000000"/>
          <w:sz w:val="28"/>
        </w:rPr>
        <w:t>
</w:t>
      </w:r>
      <w:r>
        <w:rPr>
          <w:rFonts w:ascii="Times New Roman"/>
          <w:b w:val="false"/>
          <w:i w:val="false"/>
          <w:color w:val="000000"/>
          <w:sz w:val="28"/>
        </w:rPr>
        <w:t>
      2016 жылғы 1 маусымнан бастап - 100 (бір жүз) пайыз.</w:t>
      </w:r>
      <w:r>
        <w:br/>
      </w:r>
      <w:r>
        <w:rPr>
          <w:rFonts w:ascii="Times New Roman"/>
          <w:b w:val="false"/>
          <w:i w:val="false"/>
          <w:color w:val="000000"/>
          <w:sz w:val="28"/>
        </w:rPr>
        <w:t>
</w:t>
      </w:r>
      <w:r>
        <w:rPr>
          <w:rFonts w:ascii="Times New Roman"/>
          <w:b w:val="false"/>
          <w:i w:val="false"/>
          <w:color w:val="000000"/>
          <w:sz w:val="28"/>
        </w:rPr>
        <w:t xml:space="preserve">
      Осы тармақтың бірінші және екінші бөліктерінде белгіленген талаптар меншікті капиталы бірінші деңгейдегі капитал мен екінші деңгейдегі капиталдың сомасы ретінде есептелетін тұрғын үй құрылыс жинақ банкіне қолданылмайды. </w:t>
      </w:r>
      <w:r>
        <w:br/>
      </w:r>
      <w:r>
        <w:rPr>
          <w:rFonts w:ascii="Times New Roman"/>
          <w:b w:val="false"/>
          <w:i w:val="false"/>
          <w:color w:val="000000"/>
          <w:sz w:val="28"/>
        </w:rPr>
        <w:t>
</w:t>
      </w:r>
      <w:r>
        <w:rPr>
          <w:rFonts w:ascii="Times New Roman"/>
          <w:b w:val="false"/>
          <w:i w:val="false"/>
          <w:color w:val="000000"/>
          <w:sz w:val="28"/>
        </w:rPr>
        <w:t>
      Нұсқаулықтың мақсаттары үшін Standard&amp;Poor's агенттігінің ұзақмерзімді кредиттік рейтингтік бағаларымен қатар уәкілетті орган сондай-ақ Moody's Investors Service және Fitch агенттіктерінің де (бұдан әрі – басқа рейтингтік агенттіктер) ұзақмерзімді кредиттік рейтингтік бағаларын таниды.</w:t>
      </w:r>
      <w:r>
        <w:br/>
      </w:r>
      <w:r>
        <w:rPr>
          <w:rFonts w:ascii="Times New Roman"/>
          <w:b w:val="false"/>
          <w:i w:val="false"/>
          <w:color w:val="000000"/>
          <w:sz w:val="28"/>
        </w:rPr>
        <w:t>
</w:t>
      </w:r>
      <w:r>
        <w:rPr>
          <w:rFonts w:ascii="Times New Roman"/>
          <w:b w:val="false"/>
          <w:i w:val="false"/>
          <w:color w:val="000000"/>
          <w:sz w:val="28"/>
        </w:rPr>
        <w:t>
      Нұсқаулықтың мақсаттары үшін мынадай ұйымдар халықаралық қаржы ұйымдарына жатады:</w:t>
      </w:r>
      <w:r>
        <w:br/>
      </w:r>
      <w:r>
        <w:rPr>
          <w:rFonts w:ascii="Times New Roman"/>
          <w:b w:val="false"/>
          <w:i w:val="false"/>
          <w:color w:val="000000"/>
          <w:sz w:val="28"/>
        </w:rPr>
        <w:t>
</w:t>
      </w:r>
      <w:r>
        <w:rPr>
          <w:rFonts w:ascii="Times New Roman"/>
          <w:b w:val="false"/>
          <w:i w:val="false"/>
          <w:color w:val="000000"/>
          <w:sz w:val="28"/>
        </w:rPr>
        <w:t>
      Азия даму банкі (the Asian Development Bank);</w:t>
      </w:r>
      <w:r>
        <w:br/>
      </w:r>
      <w:r>
        <w:rPr>
          <w:rFonts w:ascii="Times New Roman"/>
          <w:b w:val="false"/>
          <w:i w:val="false"/>
          <w:color w:val="000000"/>
          <w:sz w:val="28"/>
        </w:rPr>
        <w:t>
</w:t>
      </w:r>
      <w:r>
        <w:rPr>
          <w:rFonts w:ascii="Times New Roman"/>
          <w:b w:val="false"/>
          <w:i w:val="false"/>
          <w:color w:val="000000"/>
          <w:sz w:val="28"/>
        </w:rPr>
        <w:t>
      Африка даму банкі (the African Development Bank);</w:t>
      </w:r>
      <w:r>
        <w:br/>
      </w:r>
      <w:r>
        <w:rPr>
          <w:rFonts w:ascii="Times New Roman"/>
          <w:b w:val="false"/>
          <w:i w:val="false"/>
          <w:color w:val="000000"/>
          <w:sz w:val="28"/>
        </w:rPr>
        <w:t>
</w:t>
      </w:r>
      <w:r>
        <w:rPr>
          <w:rFonts w:ascii="Times New Roman"/>
          <w:b w:val="false"/>
          <w:i w:val="false"/>
          <w:color w:val="000000"/>
          <w:sz w:val="28"/>
        </w:rPr>
        <w:t>
      Еуропа Кеңесінің Даму Банкі (the Council of Europe Development Bank);</w:t>
      </w:r>
      <w:r>
        <w:br/>
      </w:r>
      <w:r>
        <w:rPr>
          <w:rFonts w:ascii="Times New Roman"/>
          <w:b w:val="false"/>
          <w:i w:val="false"/>
          <w:color w:val="000000"/>
          <w:sz w:val="28"/>
        </w:rPr>
        <w:t>
</w:t>
      </w:r>
      <w:r>
        <w:rPr>
          <w:rFonts w:ascii="Times New Roman"/>
          <w:b w:val="false"/>
          <w:i w:val="false"/>
          <w:color w:val="000000"/>
          <w:sz w:val="28"/>
        </w:rPr>
        <w:t>
      Еуразия даму банкі (Eurasian Development Bank);</w:t>
      </w:r>
      <w:r>
        <w:br/>
      </w:r>
      <w:r>
        <w:rPr>
          <w:rFonts w:ascii="Times New Roman"/>
          <w:b w:val="false"/>
          <w:i w:val="false"/>
          <w:color w:val="000000"/>
          <w:sz w:val="28"/>
        </w:rPr>
        <w:t>
</w:t>
      </w:r>
      <w:r>
        <w:rPr>
          <w:rFonts w:ascii="Times New Roman"/>
          <w:b w:val="false"/>
          <w:i w:val="false"/>
          <w:color w:val="000000"/>
          <w:sz w:val="28"/>
        </w:rPr>
        <w:t>
      Еуропа қайта құру және даму банкі (the European Bank for Reconstruction and Development);</w:t>
      </w:r>
      <w:r>
        <w:br/>
      </w:r>
      <w:r>
        <w:rPr>
          <w:rFonts w:ascii="Times New Roman"/>
          <w:b w:val="false"/>
          <w:i w:val="false"/>
          <w:color w:val="000000"/>
          <w:sz w:val="28"/>
        </w:rPr>
        <w:t>
</w:t>
      </w:r>
      <w:r>
        <w:rPr>
          <w:rFonts w:ascii="Times New Roman"/>
          <w:b w:val="false"/>
          <w:i w:val="false"/>
          <w:color w:val="000000"/>
          <w:sz w:val="28"/>
        </w:rPr>
        <w:t>
      Еуропа инвестициялық банкі (the European Investment Bank);</w:t>
      </w:r>
      <w:r>
        <w:br/>
      </w:r>
      <w:r>
        <w:rPr>
          <w:rFonts w:ascii="Times New Roman"/>
          <w:b w:val="false"/>
          <w:i w:val="false"/>
          <w:color w:val="000000"/>
          <w:sz w:val="28"/>
        </w:rPr>
        <w:t>
</w:t>
      </w:r>
      <w:r>
        <w:rPr>
          <w:rFonts w:ascii="Times New Roman"/>
          <w:b w:val="false"/>
          <w:i w:val="false"/>
          <w:color w:val="000000"/>
          <w:sz w:val="28"/>
        </w:rPr>
        <w:t>
      Ислам даму банкі (the Islamic Development Bank);</w:t>
      </w:r>
      <w:r>
        <w:br/>
      </w:r>
      <w:r>
        <w:rPr>
          <w:rFonts w:ascii="Times New Roman"/>
          <w:b w:val="false"/>
          <w:i w:val="false"/>
          <w:color w:val="000000"/>
          <w:sz w:val="28"/>
        </w:rPr>
        <w:t>
</w:t>
      </w:r>
      <w:r>
        <w:rPr>
          <w:rFonts w:ascii="Times New Roman"/>
          <w:b w:val="false"/>
          <w:i w:val="false"/>
          <w:color w:val="000000"/>
          <w:sz w:val="28"/>
        </w:rPr>
        <w:t>
      Жеке секторды дамыту жөнiндегі Ислам Корпорациясы (ICD);</w:t>
      </w:r>
      <w:r>
        <w:br/>
      </w:r>
      <w:r>
        <w:rPr>
          <w:rFonts w:ascii="Times New Roman"/>
          <w:b w:val="false"/>
          <w:i w:val="false"/>
          <w:color w:val="000000"/>
          <w:sz w:val="28"/>
        </w:rPr>
        <w:t>
</w:t>
      </w:r>
      <w:r>
        <w:rPr>
          <w:rFonts w:ascii="Times New Roman"/>
          <w:b w:val="false"/>
          <w:i w:val="false"/>
          <w:color w:val="000000"/>
          <w:sz w:val="28"/>
        </w:rPr>
        <w:t>
      Америкааралық даму банкі (the Inter-American Development Bank);</w:t>
      </w:r>
      <w:r>
        <w:br/>
      </w:r>
      <w:r>
        <w:rPr>
          <w:rFonts w:ascii="Times New Roman"/>
          <w:b w:val="false"/>
          <w:i w:val="false"/>
          <w:color w:val="000000"/>
          <w:sz w:val="28"/>
        </w:rPr>
        <w:t>
</w:t>
      </w:r>
      <w:r>
        <w:rPr>
          <w:rFonts w:ascii="Times New Roman"/>
          <w:b w:val="false"/>
          <w:i w:val="false"/>
          <w:color w:val="000000"/>
          <w:sz w:val="28"/>
        </w:rPr>
        <w:t xml:space="preserve">
      Халықаралық даму қауымдастығы; </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 (the International Finance Corporation);</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 (the International Bank for Reconstruction and Development);</w:t>
      </w:r>
      <w:r>
        <w:br/>
      </w:r>
      <w:r>
        <w:rPr>
          <w:rFonts w:ascii="Times New Roman"/>
          <w:b w:val="false"/>
          <w:i w:val="false"/>
          <w:color w:val="000000"/>
          <w:sz w:val="28"/>
        </w:rPr>
        <w:t>
</w:t>
      </w:r>
      <w:r>
        <w:rPr>
          <w:rFonts w:ascii="Times New Roman"/>
          <w:b w:val="false"/>
          <w:i w:val="false"/>
          <w:color w:val="000000"/>
          <w:sz w:val="28"/>
        </w:rPr>
        <w:t>
      Халықаралық валюта қоры;</w:t>
      </w:r>
      <w:r>
        <w:br/>
      </w:r>
      <w:r>
        <w:rPr>
          <w:rFonts w:ascii="Times New Roman"/>
          <w:b w:val="false"/>
          <w:i w:val="false"/>
          <w:color w:val="000000"/>
          <w:sz w:val="28"/>
        </w:rPr>
        <w:t>
</w:t>
      </w:r>
      <w:r>
        <w:rPr>
          <w:rFonts w:ascii="Times New Roman"/>
          <w:b w:val="false"/>
          <w:i w:val="false"/>
          <w:color w:val="000000"/>
          <w:sz w:val="28"/>
        </w:rPr>
        <w:t>
      Инвестициялық дауларды реттеу жөніндегі халықаралық орталық;</w:t>
      </w:r>
      <w:r>
        <w:br/>
      </w:r>
      <w:r>
        <w:rPr>
          <w:rFonts w:ascii="Times New Roman"/>
          <w:b w:val="false"/>
          <w:i w:val="false"/>
          <w:color w:val="000000"/>
          <w:sz w:val="28"/>
        </w:rPr>
        <w:t>
</w:t>
      </w:r>
      <w:r>
        <w:rPr>
          <w:rFonts w:ascii="Times New Roman"/>
          <w:b w:val="false"/>
          <w:i w:val="false"/>
          <w:color w:val="000000"/>
          <w:sz w:val="28"/>
        </w:rPr>
        <w:t>
      Инвестициялар кепілдігінің көпжақты агенттігі;</w:t>
      </w:r>
      <w:r>
        <w:br/>
      </w:r>
      <w:r>
        <w:rPr>
          <w:rFonts w:ascii="Times New Roman"/>
          <w:b w:val="false"/>
          <w:i w:val="false"/>
          <w:color w:val="000000"/>
          <w:sz w:val="28"/>
        </w:rPr>
        <w:t>
</w:t>
      </w:r>
      <w:r>
        <w:rPr>
          <w:rFonts w:ascii="Times New Roman"/>
          <w:b w:val="false"/>
          <w:i w:val="false"/>
          <w:color w:val="000000"/>
          <w:sz w:val="28"/>
        </w:rPr>
        <w:t>
      Скандинавия инвестициялық банкі (the Nordic Investment Bank).».</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Бақылау және қадағалау әдіснамасы департаменті (Әбдірахманов Н.А.)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