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ebe7c" w14:textId="19eb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нысаналы топтарға жататын адамдардың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2015 жылғы 16 ақпандағы № 100 қаулысы. Батыс Қазақстан облысының Әділет департаментінде 2015 жылғы 10 наурызда № 3838 болып тіркелді. Күші жойылды - Батыс Қазақстан облысы Бөрлі ауданы әкімдігінің 2016 жылғы 28 қаңтардағы № 42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Бөрлі ауданы әкімдігінің 28.01.2016 </w:t>
      </w:r>
      <w:r>
        <w:rPr>
          <w:rFonts w:ascii="Times New Roman"/>
          <w:b w:val="false"/>
          <w:i w:val="false"/>
          <w:color w:val="ff0000"/>
          <w:sz w:val="28"/>
        </w:rPr>
        <w:t>№ 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2001 жылғы 23 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 рыногындағы жағдай мен бюджет қаражатына қарай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 жылға нысаналы топтарға жататын адамдардың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 Бөрлі ауданының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Бөрлі ауданы әкімдігінің 2012 жылғы 26 шілдедегі № 661 "Бөрлі ауданы бойынша нысаналы топтарға жататын тұлғалардың қосымша тізбесін белгілеу туралы" (Нормативтік құқықтық актілерді мемлекеттік тіркеу тізілімінде № 7-3-134 тіркелген, 2012 жылғы 30 тамызда "Бөрлі жаршысы-Бурлинские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 Бөрлі ауданы әкімдігінің 2013 жылғы 31 мамырдағы № 505 "Бөрлі ауданы әкімдігінің 2012 жылғы 26 шілдедегі № 661 "Бөрлі ауданы бойынша нысаналы топтарға жататын тұлғалардың қосымша тізбесін белгілеу туралы" қаулысына толықтыру енгізу туралы" (Нормативтік құқықтық актілерді мемлекеттік тіркеу тізілімінде № 3305 тіркелген, 2013 жылғы 25 шілдеде "Бөрлі жаршысы-Бурлинские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Аудан әкімі аппаратының мемлекеттік-құқықтық жұмысы бөлімінің басшысы (А. 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қаулының орындалуын бақылау аудан әкімінің орынбасары А. Сафималиевке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Каналин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16 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100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 жылға нысаналы топтарға жататын адамдардың қосымша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Жұмыспен қамту жөніндегі уәкілетті органның жолдамасы бойынша кәсіби білім алған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Бір жылдан астам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50 жастан асқан жұмыссыз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Жоғары оқу орындарының және техникалық және кәсіптік білім беру ұйымдарының студенттері жазғы демалыс кезеңінде.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