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63be" w14:textId="dd66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шалғайдағы елді мекендерде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2015 жылғы 16 шілдедегі № 338 қаулысы. Батыс Қазақстан облысының Әділет департаментінде 2015 жылғы 21 тамызда № 3999 болып тіркелді. Күші жойылды - Батыс Қазақстан облысы Ақжайық ауданы әкімдігінің 2015 жылғы 8 қазандағы № 422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ауданы әкімдігінің 08.10.2015 </w:t>
      </w:r>
      <w:r>
        <w:rPr>
          <w:rFonts w:ascii="Times New Roman"/>
          <w:b w:val="false"/>
          <w:i w:val="false"/>
          <w:color w:val="ff0000"/>
          <w:sz w:val="28"/>
        </w:rPr>
        <w:t>№ 422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Ақжайық ауданының шалғайдағы елді мекендерде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Ақжайық ауданының шалғайдағы елді мекендерде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"Батыс Қазақстан облысының Ақжайық ауданының білім бөлімі" мемлекеттік мекемесі, "Ақжайық ауданының экономика және қаржы бөлімі" мемлекеттік мекемесі және ауылдық округ әкімдері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4. "Ақжайық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М. Жұматоваға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Жоламанов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2015 жылғы 16 шілдедегі </w:t>
            </w:r>
            <w:r>
              <w:br/>
            </w:r>
            <w:r>
              <w:rPr>
                <w:rFonts w:ascii="Times New Roman"/>
                <w:b w:val="false"/>
                <w:i w:val="false"/>
                <w:color w:val="000000"/>
                <w:sz w:val="20"/>
              </w:rPr>
              <w:t>№ 338 қаулысымен бекітілген</w:t>
            </w:r>
          </w:p>
        </w:tc>
      </w:tr>
    </w:tbl>
    <w:bookmarkStart w:name="z12" w:id="0"/>
    <w:p>
      <w:pPr>
        <w:spacing w:after="0"/>
        <w:ind w:left="0"/>
        <w:jc w:val="left"/>
      </w:pPr>
      <w:r>
        <w:rPr>
          <w:rFonts w:ascii="Times New Roman"/>
          <w:b/>
          <w:i w:val="false"/>
          <w:color w:val="000000"/>
        </w:rPr>
        <w:t xml:space="preserve"> Ақжайық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5004"/>
        <w:gridCol w:w="4922"/>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Есенсай ауылы – Тасоба ауылы, Жазира қыстағы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ауылы – Ақбұлақ ауылы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ауылы – Сахарный қыстағы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 </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Молдағалиев ауылы – Әтібек ауылы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Базаршолан ауылы – Баянтөбе ауылы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 ауылы – Мұнай базасы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Сарман ауылы – Жанама ауылы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Бітік ауылы – Жамбыл ауылы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 ауылы – Жайық ауылы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километр</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ауылы – Птичник, Алмабақ қыстақтары</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16 шілдедегі № 338 </w:t>
            </w:r>
            <w:r>
              <w:br/>
            </w: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қаулысымен бекітілген</w:t>
            </w:r>
          </w:p>
        </w:tc>
      </w:tr>
    </w:tbl>
    <w:bookmarkStart w:name="z25" w:id="12"/>
    <w:p>
      <w:pPr>
        <w:spacing w:after="0"/>
        <w:ind w:left="0"/>
        <w:jc w:val="left"/>
      </w:pPr>
      <w:r>
        <w:rPr>
          <w:rFonts w:ascii="Times New Roman"/>
          <w:b/>
          <w:i w:val="false"/>
          <w:color w:val="000000"/>
        </w:rPr>
        <w:t xml:space="preserve"> Ақжайық ауданының шалғайдағы елді мекендерде тұратын балаларды </w:t>
      </w:r>
      <w:r>
        <w:br/>
      </w:r>
      <w:r>
        <w:rPr>
          <w:rFonts w:ascii="Times New Roman"/>
          <w:b/>
          <w:i w:val="false"/>
          <w:color w:val="000000"/>
        </w:rPr>
        <w:t>жалпы білім беретін мектептерге тасымалдаудың қағидалары</w:t>
      </w:r>
    </w:p>
    <w:bookmarkEnd w:id="12"/>
    <w:bookmarkStart w:name="z26"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Ақжайық ауданының шалғайдағы елді мекендерінде тұратын балаларды жалпы білім беретін мектептерге тасымалдаудың осы қағида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Ақжайық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2. Балаларды тасымалдау тәртібі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автокөліктермен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автокөліктер сары түсті жарқылдауық маякпен жабдықталады. Бұл автокөліктердің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Автокөлік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Автокөліктердің қозғалыс кестесін тасымалдаушы мен ұйымдастырушы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10. Балаларды тасымалдау кезінде автокөліктің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автокөлікті басып озуға;</w:t>
      </w:r>
      <w:r>
        <w:br/>
      </w:r>
      <w:r>
        <w:rPr>
          <w:rFonts w:ascii="Times New Roman"/>
          <w:b w:val="false"/>
          <w:i w:val="false"/>
          <w:color w:val="000000"/>
          <w:sz w:val="28"/>
        </w:rPr>
        <w:t>
      </w:t>
      </w:r>
      <w:r>
        <w:rPr>
          <w:rFonts w:ascii="Times New Roman"/>
          <w:b w:val="false"/>
          <w:i w:val="false"/>
          <w:color w:val="000000"/>
          <w:sz w:val="28"/>
        </w:rPr>
        <w:t>6) автокөлікпен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