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5879" w14:textId="6555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9 ақпандағы № 76 қаулысы. Шығыс Қазақстан облысының Әділет департаментінде 2015 жылғы 27 ақпанда № 3714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ауданының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76 қаулысымен бекітілген</w:t>
            </w:r>
          </w:p>
        </w:tc>
      </w:tr>
    </w:tbl>
    <w:bookmarkStart w:name="z10" w:id="0"/>
    <w:p>
      <w:pPr>
        <w:spacing w:after="0"/>
        <w:ind w:left="0"/>
        <w:jc w:val="left"/>
      </w:pPr>
      <w:r>
        <w:rPr>
          <w:rFonts w:ascii="Times New Roman"/>
          <w:b/>
          <w:i w:val="false"/>
          <w:color w:val="000000"/>
        </w:rPr>
        <w:t xml:space="preserve"> "Зайсан ауданының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ауыл шаруашылығы бөлімі" мемлекеттік мекемесі (бұдан әрі - Бөлім) Қазақстан Республикасының мемлекеттік органы болып табылады, Зайсан ауданы аумағында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Жангелдин көшесі, 100.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Зайсан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Зайсан ауданы аумағында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2)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4)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5) Зайсан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4)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5)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6)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 xml:space="preserve">7)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Зайсан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