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66d8" w14:textId="31c6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елді мекендерінде жануарларды асырау қағидаларын бекіту туралы" Шығыс Қазақстан облыстық мәслихатының 2014 жылғы 11 сәуірдегі № 19/219-V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09 желтоқсандағы N 34/424-V шешімі. Шығыс Қазақстан облысының Әділет департаментінде 2016 жылғы 12 қаңтарда N 4336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елді мекендерінде жануарларды асырау қағидаларын бекіту туралы" Шығыс Қазақстан облыстық мәслихатының 2014 жылғы 11 сәуірдегі № 19/219-V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3312, 2014 жылғы 20 мамырдағы № 56 "Рудный Алтай", 2014 жылғы 21 мамырдағы № 56 "Дидар" газеттерінде, 2014 жылғы 29 мамырда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Шығыс Қазақстан облысының елді мекендерінде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Қорытынды ережелер" </w:t>
      </w:r>
      <w:r>
        <w:rPr>
          <w:rFonts w:ascii="Times New Roman"/>
          <w:b w:val="false"/>
          <w:i w:val="false"/>
          <w:color w:val="000000"/>
          <w:sz w:val="28"/>
        </w:rPr>
        <w:t>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Кошелев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