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0f10" w14:textId="1330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2015 жылғы 22 маусымдағы № 423-V шешімі. Атырау облысының Әділет департаментінде 2015 жылғы 10 шілдеде № 3251 болып тіркелді. Күші жойылды - Атырау облысы Құрманғазы аудандық мәслихатының 2023 жылғы 25 желтоқсандағы № 103-VIII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25.12.2023 № </w:t>
      </w:r>
      <w:r>
        <w:rPr>
          <w:rFonts w:ascii="Times New Roman"/>
          <w:b w:val="false"/>
          <w:i w:val="false"/>
          <w:color w:val="ff0000"/>
          <w:sz w:val="28"/>
        </w:rPr>
        <w:t>103-VIII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және Ганюшкин ауылдық округі әкімінің 2015 жылғы 18 маусымдағы № 105 шешімі негізінде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Аудандық мәслихаттың 2014 жылғы 26 желтоқсандағы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3085 санымен тіркелген, аудандық "Серпер" үнжариясында 2015 жылғы 19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көрсетілген шешіммен бекітілген 1 қосымшаға: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"отыз" деген сөздер "сексен" деген сөздермен ауыстырылсын.</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Ш. Жәлелов)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20"/>
              <w:ind w:left="20"/>
              <w:jc w:val="both"/>
            </w:pPr>
            <w:r>
              <w:rPr>
                <w:rFonts w:ascii="Times New Roman"/>
                <w:b w:val="false"/>
                <w:i/>
                <w:color w:val="000000"/>
                <w:sz w:val="20"/>
              </w:rPr>
              <w:t xml:space="preserve">кезектен тыс ХХХІХ сессиясы </w:t>
            </w:r>
          </w:p>
          <w:p>
            <w:pPr>
              <w:spacing w:after="20"/>
              <w:ind w:left="20"/>
              <w:jc w:val="both"/>
            </w:pPr>
            <w:r>
              <w:rPr>
                <w:rFonts w:ascii="Times New Roman"/>
                <w:b w:val="false"/>
                <w:i/>
                <w:color w:val="000000"/>
                <w:sz w:val="20"/>
              </w:rPr>
              <w:t>төрағасының міндетін атқарушы,</w:t>
            </w:r>
          </w:p>
          <w:p>
            <w:pPr>
              <w:spacing w:after="0"/>
              <w:ind w:left="0"/>
              <w:jc w:val="left"/>
            </w:pPr>
          </w:p>
          <w:p>
            <w:pPr>
              <w:spacing w:after="20"/>
              <w:ind w:left="20"/>
              <w:jc w:val="both"/>
            </w:pP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