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0a23" w14:textId="fa30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14 тамыздағы N 310 шешімі. Солтүстік Қазақстан облысының Әділет департаментінде 2015 жылғы 17 қыркүйекте N 3382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(2014 жылғы 21 ақпанда "Тайынша таңы" аудандық газетінде, 2014 жылғы 21 ақпанда "Тайыншинские вести" аудандық газетінде жарияланған, Нормативтік құқықтық актілерді мемлекеттік тіркеу тізілімінде № 2551 болып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19-тармағының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"19. Әлеуметтік көмек көрсетуге адамның (отбасының) жан басына шаққандағы орташа табысы әлеуметтік көмек тағайындауға өтініш жасаған айдың алдындағы үш айда алынған жиынтық табысты отбасы мүшелерінің санына бөлу арқылы және үш айға есептеп шығарылады.".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 xml:space="preserve">мәслихатының кезекті </w:t>
            </w:r>
            <w:r>
              <w:br/>
            </w:r>
            <w:r>
              <w:rPr>
                <w:rFonts w:ascii="Times New Roman"/>
                <w:b w:val="false"/>
                <w:i/>
                <w:color w:val="000000"/>
                <w:sz w:val="20"/>
              </w:rPr>
              <w:t>XLI-ші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14 тамыз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