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cbe2" w14:textId="8d8c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Солтүстік Қазақстан облысы Тайынша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w:t>
      </w:r>
    </w:p>
    <w:p>
      <w:pPr>
        <w:spacing w:after="0"/>
        <w:ind w:left="0"/>
        <w:jc w:val="both"/>
      </w:pPr>
      <w:r>
        <w:rPr>
          <w:rFonts w:ascii="Times New Roman"/>
          <w:b w:val="false"/>
          <w:i w:val="false"/>
          <w:color w:val="000000"/>
          <w:sz w:val="28"/>
        </w:rPr>
        <w:t>Солтүстік Қазақстан облысы Тайынша аудандық мәслихатының 2015 жылғы 21 мамырдағы N 276 шешімі. Солтүстік Қазақстан облысының Әділет департаментінде 2015 жылғы 16 маусымда N 3273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08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2015 жылы Солтүстік Қазақстан облысы Тайынша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ұсынылсын: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шешімнің 1-тармағының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 және 2015 жылғы 1 қаңтардан бастап пайда болған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XXХVIIІ </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Ғабдуллин</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