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9e84" w14:textId="7d89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коммуналдық мүлкін мүліктік жалдауға (жалға алуға) беру кезіндегі жалдау ақысы мөлшерлемесінің есебінің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2015 жылғы 2 ақпандағы № 34 қаулысы. Солтүстік Қазақстан облысының Әділет департаментінде 2015 жылғы 10 наурызда N 3143 болып тіркелді. Күші жойылды – Солтүстік Қазақстан облысы Ақжар ауданы әкімдігінің 2016 жылғы 1 ақпандағы N 21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Ақжар ауданы әкімдігінің 01.02.2016 </w:t>
      </w:r>
      <w:r>
        <w:rPr>
          <w:rFonts w:ascii="Times New Roman"/>
          <w:b w:val="false"/>
          <w:i w:val="false"/>
          <w:color w:val="ff0000"/>
          <w:sz w:val="28"/>
        </w:rPr>
        <w:t>N 21</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 тармағына</w:t>
      </w:r>
      <w:r>
        <w:rPr>
          <w:rFonts w:ascii="Times New Roman"/>
          <w:b w:val="false"/>
          <w:i w:val="false"/>
          <w:color w:val="000000"/>
          <w:sz w:val="28"/>
        </w:rPr>
        <w:t xml:space="preserve"> сәйкес Солтүстік Қазақстан облысы Ақжар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Ауданның коммуналдық мүлкін мүліктік жалдауға (жалға алуға) беру кезіндегі жалдау ақысы мөлшерлемесінің есебінің </w:t>
      </w:r>
      <w:r>
        <w:rPr>
          <w:rFonts w:ascii="Times New Roman"/>
          <w:b w:val="false"/>
          <w:i w:val="false"/>
          <w:color w:val="000000"/>
          <w:sz w:val="28"/>
        </w:rPr>
        <w:t>тәртібі</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күннен кейін күнтiзбелiк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әкімдігінің 2015 жылғы 02 ақпан № 34 қаулысына қосымша</w:t>
            </w:r>
          </w:p>
        </w:tc>
      </w:tr>
    </w:tbl>
    <w:bookmarkStart w:name="z9" w:id="0"/>
    <w:p>
      <w:pPr>
        <w:spacing w:after="0"/>
        <w:ind w:left="0"/>
        <w:jc w:val="left"/>
      </w:pPr>
      <w:r>
        <w:rPr>
          <w:rFonts w:ascii="Times New Roman"/>
          <w:b/>
          <w:i w:val="false"/>
          <w:color w:val="000000"/>
        </w:rPr>
        <w:t xml:space="preserve"> Ауданның коммуналдық мүлкін мүліктік жалдауға (жалға алуға) беру кезіндегі жалдау ақысы мөлшерлемесінің есебінің тәртібі</w:t>
      </w:r>
    </w:p>
    <w:bookmarkEnd w:id="0"/>
    <w:bookmarkStart w:name="z10" w:id="1"/>
    <w:p>
      <w:pPr>
        <w:spacing w:after="0"/>
        <w:ind w:left="0"/>
        <w:jc w:val="left"/>
      </w:pPr>
      <w:r>
        <w:rPr>
          <w:rFonts w:ascii="Times New Roman"/>
          <w:b/>
          <w:i w:val="false"/>
          <w:color w:val="000000"/>
        </w:rPr>
        <w:t xml:space="preserve"> 1. Мемлекеттік үй-жайларды мүліктік жалға беру ақысын есептеу мөлшерлемесін белгілеу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Жылдық жалдау ақысы 1 шаршы метр үшін төмендегідей анықталады:</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Ап = С х Sх К1 х К2 х К3хК4хК5хК6;</w:t>
      </w:r>
      <w:r>
        <w:br/>
      </w:r>
      <w:r>
        <w:rPr>
          <w:rFonts w:ascii="Times New Roman"/>
          <w:b w:val="false"/>
          <w:i w:val="false"/>
          <w:color w:val="000000"/>
          <w:sz w:val="28"/>
        </w:rPr>
        <w:t>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мұнда: Ап – үй-жайды жылына пайдалану мөлшерлемесі;</w:t>
      </w:r>
      <w:r>
        <w:br/>
      </w:r>
      <w:r>
        <w:rPr>
          <w:rFonts w:ascii="Times New Roman"/>
          <w:b w:val="false"/>
          <w:i w:val="false"/>
          <w:color w:val="000000"/>
          <w:sz w:val="28"/>
        </w:rPr>
        <w:t>
      </w:t>
      </w:r>
      <w:r>
        <w:rPr>
          <w:rFonts w:ascii="Times New Roman"/>
          <w:b w:val="false"/>
          <w:i w:val="false"/>
          <w:color w:val="000000"/>
          <w:sz w:val="28"/>
        </w:rPr>
        <w:t xml:space="preserve">С – мүліктік жалдаудың базалық мөлшерлемесі мемлекеттік үй-жайдың 1 шаршы метрі жылына 1,5 айлық есептік көрсеткішне теңестіріледі </w:t>
      </w:r>
      <w:r>
        <w:br/>
      </w:r>
      <w:r>
        <w:rPr>
          <w:rFonts w:ascii="Times New Roman"/>
          <w:b w:val="false"/>
          <w:i w:val="false"/>
          <w:color w:val="000000"/>
          <w:sz w:val="28"/>
        </w:rPr>
        <w:t>
      S – жалдау ауданы, шаршы метр;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0430"/>
        <w:gridCol w:w="1244"/>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түрі</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Коэффициента көлемі</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коэффициент К1:</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әкімшілік</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өндірістік</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қойма, гараж, қазандық</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спорттық ғимараттар (стадиондар, спорттық залдар)</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желілер мен коммуникацияларды ескеретін коэффициент К2:</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Барлық инженерлік-техникалық қондырғылары бар үй-жайларына арналған қандай да бір коммуникациялар болмаған жағдайда әр түрі үшін 0,1 кемиді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Үй-жайдың жайлылығын ескеретін коэффициент К3:</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Ғимарат немесе ғимараттағы үй-жай</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жапсарлас-жанаса салынған бөлігі</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ғимараттың нөлдік қабаты (жартылай жертөле) бөлігі</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жертөле үй-жайы</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К4:</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сауда-коммерсиялық және жабдықтаушы-сатушы қызмет (өндірістік, өнеркәсіптік және аралас тауарлар, дәріхана және дәріхана пункттері), банктік қызметтер, полиграфиялық қызметтер, брокерлік қызмет, сақтандыру және инвестициялық компаниялар, нотариалдық және адвокаттық кеңселер, зейнетақы қорлары,айырбастау пунктері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коммуникациялық қызметтер, соның ішінде байланыс қызметтері, автоматандырылған телефондық станция</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қызмет көрсету:</w:t>
            </w:r>
            <w:r>
              <w:br/>
            </w:r>
            <w:r>
              <w:rPr>
                <w:rFonts w:ascii="Times New Roman"/>
                <w:b w:val="false"/>
                <w:i w:val="false"/>
                <w:color w:val="000000"/>
                <w:sz w:val="20"/>
              </w:rPr>
              <w:t>
3) тұрмыстық және мәдени-демалыс қызметтері, тренажер залы, фитнес-клубтар, ТҚС, шеберханалар</w:t>
            </w:r>
            <w:r>
              <w:br/>
            </w:r>
            <w:r>
              <w:rPr>
                <w:rFonts w:ascii="Times New Roman"/>
                <w:b w:val="false"/>
                <w:i w:val="false"/>
                <w:color w:val="000000"/>
                <w:sz w:val="20"/>
              </w:rPr>
              <w:t xml:space="preserve">
4) жерлеу қызметтері, кітапты жалға беру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саласындағы қызмет:</w:t>
            </w:r>
            <w:r>
              <w:br/>
            </w:r>
            <w:r>
              <w:rPr>
                <w:rFonts w:ascii="Times New Roman"/>
                <w:b w:val="false"/>
                <w:i w:val="false"/>
                <w:color w:val="000000"/>
                <w:sz w:val="20"/>
              </w:rPr>
              <w:t>
5) дәмхана, мейрамхана</w:t>
            </w:r>
            <w:r>
              <w:br/>
            </w:r>
            <w:r>
              <w:rPr>
                <w:rFonts w:ascii="Times New Roman"/>
                <w:b w:val="false"/>
                <w:i w:val="false"/>
                <w:color w:val="000000"/>
                <w:sz w:val="20"/>
              </w:rPr>
              <w:t xml:space="preserve">
6) буфет және асхана </w:t>
            </w:r>
            <w:r>
              <w:br/>
            </w:r>
            <w:r>
              <w:rPr>
                <w:rFonts w:ascii="Times New Roman"/>
                <w:b w:val="false"/>
                <w:i w:val="false"/>
                <w:color w:val="000000"/>
                <w:sz w:val="20"/>
              </w:rPr>
              <w:t xml:space="preserve">
7) білім мекемелеріндегі буфет пен асхана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1,5</w:t>
            </w:r>
            <w:r>
              <w:br/>
            </w: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білім саласындағы қызмет көрсету (мектептен тыс, оқушыларға арналған үйірме қызметі, компьютерлік сыныптар), балалар мен жасөспірімдерге арналған дене шынықтыру және спорт үйірмелері, денсаулық сақтау және мәдениет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4. тармақта көрсетілген қызмет түрлерін қоспағанда, қызмет түрлері үшін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Жалдаушының ұйымдастыру-құқықтық формасын ескеретін коэффициент К5: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жеке меншік формалары жеке құрылымдарға арналған (шектеулі жауапкерлік серіктестіктері, акционерлік қоғамдар)</w:t>
            </w:r>
            <w:r>
              <w:br/>
            </w:r>
            <w:r>
              <w:rPr>
                <w:rFonts w:ascii="Times New Roman"/>
                <w:b w:val="false"/>
                <w:i w:val="false"/>
                <w:color w:val="000000"/>
                <w:sz w:val="20"/>
              </w:rPr>
              <w:t>
2) қоғамдық ұйымдар мен бірлестіктер, үкіметтік емес ұйымдар үшін</w:t>
            </w:r>
            <w:r>
              <w:br/>
            </w:r>
            <w:r>
              <w:rPr>
                <w:rFonts w:ascii="Times New Roman"/>
                <w:b w:val="false"/>
                <w:i w:val="false"/>
                <w:color w:val="000000"/>
                <w:sz w:val="20"/>
              </w:rPr>
              <w:t>
3) шағын кәсіпкерлік субъектілеріне өнеркәсіп қызметін ұйымдастыру және халыққа қызмет көрсету дамуы, ерекше сауда-саттық (делдалдық) қызметті</w:t>
            </w:r>
            <w:r>
              <w:br/>
            </w:r>
            <w:r>
              <w:rPr>
                <w:rFonts w:ascii="Times New Roman"/>
                <w:b w:val="false"/>
                <w:i w:val="false"/>
                <w:color w:val="000000"/>
                <w:sz w:val="20"/>
              </w:rPr>
              <w:t>
мемлекеттік мекемелер үшін:</w:t>
            </w:r>
            <w:r>
              <w:br/>
            </w:r>
            <w:r>
              <w:rPr>
                <w:rFonts w:ascii="Times New Roman"/>
                <w:b w:val="false"/>
                <w:i w:val="false"/>
                <w:color w:val="000000"/>
                <w:sz w:val="20"/>
              </w:rPr>
              <w:t xml:space="preserve">
4) бюджеттен қаржыландырылатын және әкімдіктің коммуналдық меншігіндегі басқа да бюджет деңгейіндегі мүлік жалдаушыларға </w:t>
            </w:r>
            <w:r>
              <w:br/>
            </w:r>
            <w:r>
              <w:rPr>
                <w:rFonts w:ascii="Times New Roman"/>
                <w:b w:val="false"/>
                <w:i w:val="false"/>
                <w:color w:val="000000"/>
                <w:sz w:val="20"/>
              </w:rPr>
              <w:t xml:space="preserve">
5) бюджеттен қаржыландырылатын және әкімдіктің коммуналдық меншігіндегі тиісті бюджет деңгейіндегі мүлік жалдаушыларға және аудандық коммуналдық кәсіпорындарға </w:t>
            </w:r>
            <w:r>
              <w:br/>
            </w:r>
            <w:r>
              <w:rPr>
                <w:rFonts w:ascii="Times New Roman"/>
                <w:b w:val="false"/>
                <w:i w:val="false"/>
                <w:color w:val="000000"/>
                <w:sz w:val="20"/>
              </w:rPr>
              <w:t>
6) қайырымдылық бірлестіктер</w:t>
            </w:r>
            <w:r>
              <w:br/>
            </w:r>
            <w:r>
              <w:rPr>
                <w:rFonts w:ascii="Times New Roman"/>
                <w:b w:val="false"/>
                <w:i w:val="false"/>
                <w:color w:val="000000"/>
                <w:sz w:val="20"/>
              </w:rPr>
              <w:t>
7) жоғарыдағы есепке алынбағандардан өзгелер үшін</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1,5</w:t>
            </w:r>
            <w:r>
              <w:br/>
            </w:r>
            <w:r>
              <w:rPr>
                <w:rFonts w:ascii="Times New Roman"/>
                <w:b w:val="false"/>
                <w:i w:val="false"/>
                <w:color w:val="000000"/>
                <w:sz w:val="20"/>
              </w:rPr>
              <w:t>
0,9</w:t>
            </w:r>
            <w:r>
              <w:br/>
            </w:r>
            <w:r>
              <w:rPr>
                <w:rFonts w:ascii="Times New Roman"/>
                <w:b w:val="false"/>
                <w:i w:val="false"/>
                <w:color w:val="000000"/>
                <w:sz w:val="20"/>
              </w:rPr>
              <w:t>
Жалдау ақысын алмай</w:t>
            </w:r>
            <w:r>
              <w:br/>
            </w:r>
            <w:r>
              <w:rPr>
                <w:rFonts w:ascii="Times New Roman"/>
                <w:b w:val="false"/>
                <w:i w:val="false"/>
                <w:color w:val="000000"/>
                <w:sz w:val="20"/>
              </w:rPr>
              <w:t>
0,5</w:t>
            </w:r>
            <w:r>
              <w:br/>
            </w:r>
            <w:r>
              <w:rPr>
                <w:rFonts w:ascii="Times New Roman"/>
                <w:b w:val="false"/>
                <w:i w:val="false"/>
                <w:color w:val="000000"/>
                <w:sz w:val="20"/>
              </w:rPr>
              <w:t xml:space="preserve">
1,0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К6:</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аудандық орталық</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ауылдық елді мекендер (аудандық орталықтан басқа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bl>
    <w:bookmarkStart w:name="z40" w:id="3"/>
    <w:p>
      <w:pPr>
        <w:spacing w:after="0"/>
        <w:ind w:left="0"/>
        <w:jc w:val="left"/>
      </w:pPr>
      <w:r>
        <w:rPr>
          <w:rFonts w:ascii="Times New Roman"/>
          <w:b/>
          <w:i w:val="false"/>
          <w:color w:val="000000"/>
        </w:rPr>
        <w:t xml:space="preserve"> 2. Көлік құралдарын, құрылыс, жұмыс және ауыл шаруашылық машиналарды, жабдықтарды, инженерлік желілерді, коммуникацияларды және басқа да мемлекеттік коммуналдық меншік мүлкін, мемлекеттік тұрғын емес қор объектілерін есептемегенде, мүліктік жалға беру ақысын есептеу.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Есептеу мөлшерлемесін формула арқылы анықтау:</w:t>
      </w:r>
      <w:r>
        <w:br/>
      </w:r>
      <w:r>
        <w:rPr>
          <w:rFonts w:ascii="Times New Roman"/>
          <w:b w:val="false"/>
          <w:i w:val="false"/>
          <w:color w:val="000000"/>
          <w:sz w:val="28"/>
        </w:rPr>
        <w:t>
</w:t>
      </w:r>
    </w:p>
    <w:bookmarkStart w:name="z42" w:id="4"/>
    <w:p>
      <w:pPr>
        <w:spacing w:after="0"/>
        <w:ind w:left="0"/>
        <w:jc w:val="both"/>
      </w:pPr>
      <w:r>
        <w:rPr>
          <w:rFonts w:ascii="Times New Roman"/>
          <w:b w:val="false"/>
          <w:i w:val="false"/>
          <w:color w:val="000000"/>
          <w:sz w:val="28"/>
        </w:rPr>
        <w:t>            Ар = С х NAM/100 х Кn,</w:t>
      </w:r>
      <w:r>
        <w:br/>
      </w:r>
      <w:r>
        <w:rPr>
          <w:rFonts w:ascii="Times New Roman"/>
          <w:b w:val="false"/>
          <w:i w:val="false"/>
          <w:color w:val="000000"/>
          <w:sz w:val="28"/>
        </w:rPr>
        <w:t>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мұнда Ар –жалдау ақысының жылдық мөлшерлемесі;</w:t>
      </w:r>
      <w:r>
        <w:br/>
      </w:r>
      <w:r>
        <w:rPr>
          <w:rFonts w:ascii="Times New Roman"/>
          <w:b w:val="false"/>
          <w:i w:val="false"/>
          <w:color w:val="000000"/>
          <w:sz w:val="28"/>
        </w:rPr>
        <w:t>
      </w:t>
      </w:r>
      <w:r>
        <w:rPr>
          <w:rFonts w:ascii="Times New Roman"/>
          <w:b w:val="false"/>
          <w:i w:val="false"/>
          <w:color w:val="000000"/>
          <w:sz w:val="28"/>
        </w:rPr>
        <w:t>С - бухгалтерлік есеп деректері бойынша жабдықтардың қалдық құны. 100 пайыз тозуы есептелген жабдықтарды, көлік құралдары мен басқа да тұтынылмайтын заттарды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xml:space="preserve">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 Мемлекеттік мекемелерге көліктер мен құрал жабдықтарды ұсынған жағдайда көлемі 0,0.</w:t>
      </w:r>
      <w:r>
        <w:br/>
      </w:r>
      <w:r>
        <w:rPr>
          <w:rFonts w:ascii="Times New Roman"/>
          <w:b w:val="false"/>
          <w:i w:val="false"/>
          <w:color w:val="000000"/>
          <w:sz w:val="28"/>
        </w:rPr>
        <w:t>
      </w:t>
      </w:r>
      <w:r>
        <w:rPr>
          <w:rFonts w:ascii="Times New Roman"/>
          <w:b w:val="false"/>
          <w:i w:val="false"/>
          <w:color w:val="000000"/>
          <w:sz w:val="28"/>
        </w:rPr>
        <w:t xml:space="preserve">Бір ретті іс шаралар өткізгенде жалдау ақысының мөлшерлемесі 100,0 тенгені орналасқан шаршы метрге қөбейтіп есептеледі.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