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587b" w14:textId="96d5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2015 жылғы 31 шілдедегі "Баянауыл ауданының шалғайдағы елді мекендерінде тұратын балаларды жалпы білім беру мектептеріне тасымалдау схемалары мен тәртібін бекіту туралы" № 222/7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30 қазандағы № 286/10 қаулысы. Павлодар облысының Әділет департаментінде 2015 жылғы 26 қарашада № 4811 болып тіркелді. Күші жойылды - Павлодар облысы Баянауыл ауданы әкімдігінің 2024 жылғы 26 ақпандағы № 2/02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әкімдігінің 26.02.2024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Баянауыл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Баянауыл ауданы әкімдігінің 2015 жылғы 31 шілдедегі "Баянауыл ауданының шалғайдағы елді мекендерінде тұратын балаларды жалпы білім беретін мектептеріне тасымалдау схемалары мен тәртібін бекіту туралы" № 222/7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4693 болып тіркелген, 2015 жылғы 2 қазан № 40 "Баянтау" газетінде жарияланған) мынадай өзгеріс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Бельгубаев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286/10 қаулысына</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Баянауыл ауданының шалғайдағы елді мекендерінде</w:t>
      </w:r>
      <w:r>
        <w:br/>
      </w:r>
      <w:r>
        <w:rPr>
          <w:rFonts w:ascii="Times New Roman"/>
          <w:b/>
          <w:i w:val="false"/>
          <w:color w:val="000000"/>
        </w:rPr>
        <w:t>тұратын балаларды жалпы білім беру мектептеріне тасымалдау тәртібі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Осы Баянауыл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Баянауыл ауданының шалғайдағы елді мекендерінде тұратын балаларды жалпы білім беру мектептеріне тасымалдау тәртібін айқындайды.</w:t>
      </w:r>
    </w:p>
    <w:bookmarkEnd w:id="4"/>
    <w:bookmarkStart w:name="z10" w:id="5"/>
    <w:p>
      <w:pPr>
        <w:spacing w:after="0"/>
        <w:ind w:left="0"/>
        <w:jc w:val="left"/>
      </w:pPr>
      <w:r>
        <w:rPr>
          <w:rFonts w:ascii="Times New Roman"/>
          <w:b/>
          <w:i w:val="false"/>
          <w:color w:val="000000"/>
        </w:rPr>
        <w:t xml:space="preserve"> 2. Автокөлік құралдарына қойылатын талаптар</w:t>
      </w:r>
    </w:p>
    <w:bookmarkEnd w:id="5"/>
    <w:p>
      <w:pPr>
        <w:spacing w:after="0"/>
        <w:ind w:left="0"/>
        <w:jc w:val="both"/>
      </w:pPr>
      <w:bookmarkStart w:name="z11" w:id="6"/>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Start w:name="z16" w:id="7"/>
    <w:p>
      <w:pPr>
        <w:spacing w:after="0"/>
        <w:ind w:left="0"/>
        <w:jc w:val="left"/>
      </w:pPr>
      <w:r>
        <w:rPr>
          <w:rFonts w:ascii="Times New Roman"/>
          <w:b/>
          <w:i w:val="false"/>
          <w:color w:val="000000"/>
        </w:rPr>
        <w:t xml:space="preserve"> 3. Балаларды тасымалдау тәртібі</w:t>
      </w:r>
    </w:p>
    <w:bookmarkEnd w:id="7"/>
    <w:p>
      <w:pPr>
        <w:spacing w:after="0"/>
        <w:ind w:left="0"/>
        <w:jc w:val="both"/>
      </w:pPr>
      <w:bookmarkStart w:name="z17" w:id="8"/>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r>
        <w:br/>
      </w: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r>
        <w:br/>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2) алкоголь, есiрткi, психотропты және улағыш заттардың әсерi болғанда.</w:t>
      </w:r>
      <w:r>
        <w:br/>
      </w: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r>
        <w:br/>
      </w: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p>
    <w:bookmarkStart w:name="z30" w:id="9"/>
    <w:p>
      <w:pPr>
        <w:spacing w:after="0"/>
        <w:ind w:left="0"/>
        <w:jc w:val="left"/>
      </w:pPr>
      <w:r>
        <w:rPr>
          <w:rFonts w:ascii="Times New Roman"/>
          <w:b/>
          <w:i w:val="false"/>
          <w:color w:val="000000"/>
        </w:rPr>
        <w:t xml:space="preserve"> 4. Қорытынды ережелер</w:t>
      </w:r>
    </w:p>
    <w:bookmarkEnd w:id="9"/>
    <w:bookmarkStart w:name="z31" w:id="10"/>
    <w:p>
      <w:pPr>
        <w:spacing w:after="0"/>
        <w:ind w:left="0"/>
        <w:jc w:val="both"/>
      </w:pPr>
      <w:r>
        <w:rPr>
          <w:rFonts w:ascii="Times New Roman"/>
          <w:b w:val="false"/>
          <w:i w:val="false"/>
          <w:color w:val="000000"/>
          <w:sz w:val="28"/>
        </w:rPr>
        <w:t>
      20. Баянауыл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