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1113" w14:textId="7871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22 мамырдағы № 127/5 қаулысы. Павлодар облысының Әділет департаментінде 2015 жылғы 19 маусымда № 4533 болып тіркелді. Күші жойылды - Павлодар облысы Баянауыл аудандық әкімдігінің 2016 жылғы 12 ақпандағы № 47/02 қаулысы</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әкімдігінің 12.02.2016 № 47/02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Баянауыл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Баянауыл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127/5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Баянауыл ауданы әкімдігі атқарушы органдары "Б" корпусы мемлекеттік әкімшілік</w:t>
      </w:r>
      <w:r>
        <w:br/>
      </w:r>
      <w:r>
        <w:rPr>
          <w:rFonts w:ascii="Times New Roman"/>
          <w:b/>
          <w:i w:val="false"/>
          <w:color w:val="000000"/>
        </w:rPr>
        <w:t>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Баянауыл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Осы </w:t>
      </w:r>
      <w:r>
        <w:rPr>
          <w:rFonts w:ascii="Times New Roman"/>
          <w:b w:val="false"/>
          <w:i w:val="false"/>
          <w:color w:val="000000"/>
          <w:sz w:val="28"/>
        </w:rPr>
        <w:t>Әдістеме</w:t>
      </w:r>
      <w:r>
        <w:rPr>
          <w:rFonts w:ascii="Times New Roman"/>
          <w:b w:val="false"/>
          <w:i w:val="false"/>
          <w:color w:val="000000"/>
          <w:sz w:val="28"/>
        </w:rPr>
        <w:t xml:space="preserve"> негізінде "Б" корпусы мемлекеттік әкімшілік қызметшілерінің қызметі жүзіге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5.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7.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 xml:space="preserve"> Қызметшінің қорытынды бағасын Баянауыл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Баянауыл ауданы әкімі аппаратының басшысы болып табылады.</w:t>
      </w:r>
      <w:r>
        <w:br/>
      </w:r>
      <w:r>
        <w:rPr>
          <w:rFonts w:ascii="Times New Roman"/>
          <w:b w:val="false"/>
          <w:i w:val="false"/>
          <w:color w:val="000000"/>
          <w:sz w:val="28"/>
        </w:rPr>
        <w:t>
      Комиссия хатшысы Баянауыл ауданы әкімі аппаратының персоналды басқару қызметінің (кадр қызметінің) (бұдан әрі – персоналды басқару қызметі (кадр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Персоналды басқару қызметі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(кадр қызметі)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(кадр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(кадр қызметінің)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(кадр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қызметінен (кадр қызметінен) оларды алған күннен екі жұмыс күні ішінде персоналды басқару қызметіне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Персоналды басқару қызметі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Персоналды басқару қызметі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Персоналды басқару қызметі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(кадр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Персоналды басқару қызметі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(кадр қызметінің)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0"/>
        <w:gridCol w:w="368"/>
        <w:gridCol w:w="171"/>
        <w:gridCol w:w="4528"/>
        <w:gridCol w:w="2133"/>
      </w:tblGrid>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р/c №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Өлшем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(саны)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170"/>
        <w:gridCol w:w="4645"/>
        <w:gridCol w:w="218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р/c №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Өлшем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Бағынышты адам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Әріптесі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(барлық бағалардың бағасы)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 (мемлекеттік органның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xml:space="preserve">
       </w:t>
      </w:r>
      <w:r>
        <w:rPr>
          <w:rFonts w:ascii="Times New Roman"/>
          <w:b w:val="false"/>
          <w:i/>
          <w:color w:val="000000"/>
          <w:sz w:val="28"/>
        </w:rPr>
        <w:t>(Т.А.Ә.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