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8d2" w14:textId="022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жер салығының базалық салық мөлшерлемелерін түзету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2015 жылғы 25 маусымдағы № 257 шешімі. Қостанай облысының Әділет департаментінде 2015 жылғы 9 шілдеде № 5749 болып тіркелді. Күші жойылды - Қостанай облысы Сарыкөл ауданы мәслихатының 2018 жылғы 15 наурыздағы № 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(Салық кодексі) 2008 жылғы 10 желтоқсандағы Қазақстан Республикасы Кодексі 386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Сарыкөл ауданы мәслихатының 01.04.2016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Автотұрақтарға (паркингтерге), автомобильге май құю станцияларына бөлінген (бөліп шығарылған) және казино орналасқан жерлерді қоспағанда, Қазақстан Республикасы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 елу пайызға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заңнамасына сәйкес пайдаланылмайтын ауыл шаруашылығы мақсатындағы жерлерге, осы Кодекстің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мөлшерлемелері он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Сарыкөл аудандық мәслихатының 2011 жылғы 29 шілдедегі № 268 "Сарыкөл ауданы бойынша жер салығының базалық ставкаларын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9-17-122 болып тіркелген, 2011 жылғы 8 қыркүйекте "Сарыкөл"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Р. Жақыпов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Ж. Бисекеев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