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b684" w14:textId="201b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2014 жылғы 28 ақпандағы № 23 "Қостанай облысы Денисов ауданы Красноармейск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2015 жылғы 19 маусымдағы № 58 шешімі. Қостанай облысының Әділет департаментінде 2015 жылғы 8 шілдеде № 5736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«Нормативтiк құқықтық актiлер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Денисов аудандық мәслихатының 2014 жылғы 28 ақпандағы № 23 «Қостанай облысы Денисов ауданы Красноармейск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4551 болып тіркелген, 2014 жылғы 25 сәуірде «Әділет» ақпараттық-құқықтық жүйесінде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Қостанай облысы Денисов ауданы  Красноармейск ауылдық округінің бөлек жергілікті қоғамдастық жиындарын өткізу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Красноармейск ауылдық округі ауылдардың шегінде бөлек жиынды өткізуді Красноармейск ауылдық округінің әкімі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Красноармейск ауылдық округі ауылдардың қатысып отырған және оған қатысуға құқығы бар тұрғындарын тіркеу жүргізіледі.».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Красноармейск ауылдық округінің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Хлебников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 «19»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