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77c3" w14:textId="b2d7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Маяковский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7 сәуірдегі № 63 қаулысы. Қостанай облысының Әділет департаментінде 2015 жылғы 12 мамырда № 5595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Маяковский ауылдық округі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7 сәуірдегі</w:t>
            </w:r>
            <w:r>
              <w:br/>
            </w:r>
            <w:r>
              <w:rPr>
                <w:rFonts w:ascii="Times New Roman"/>
                <w:b w:val="false"/>
                <w:i w:val="false"/>
                <w:color w:val="000000"/>
                <w:sz w:val="20"/>
              </w:rPr>
              <w:t>№ 63 қаулысымен бекітілген</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"Алтынсарин ауданы Маяковский ауылдық округі әкiмiнiң аппараты" мемлекеттiк мекемесi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Маяковский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Маяковский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"Алтынсарин ауданы Маяковский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Маяковский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Маяковский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Маяковский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Маяковский ауылдық округі әкімінің аппараты" мемлекеттік мекемесі өз құзыретінің мәселелері бойынша заңнамада белгіленген тәртіппен "Алтынсарин ауданы Маяковский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Маяковский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110107, Қазақстан Республикасы, Қостанай облысы, Алтынсарин ауданы, Первомайское ауылы, Октябрьская көшесі, н/ж.</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Маяковский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Маяковский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Маяковский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Маяковский ауылдық округі әкімінің аппараты" мемлекеттік мекемесінің кәсіпкерлік субъектілерімен "Алтынсарин ауданы Маяковский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Маяковский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Маяковский ауылдық округі әкімінің аппараты" мемлекеттік мекемесінің миссиясы: ауылдық округ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Маяковский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Маяковский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бірыңғай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Маяковский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тілдің қолдану аясын кеңейтуге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Маяковский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жеке тұлғаларға және заңды тұлғалардың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Маяковский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Маяковский ауылдық округі әкімінің аппараты" мемлекеттік мекемесіне басшылықты "Алтынсарин ауданы Маяковский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Маяковский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Маяковский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Маяковский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Маяковский ауылдық округі әкімінің аппараты" мемлекеттік мекемесі туралы ережені әзірлейді, Алтынсарин ауданы Маяковский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Маяковский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Маяковский ауылдық округі әкімінің аппараты" мемлекеттік мекемесінің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Маяковский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Маяковский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Маяковский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Маяковский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өзге де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Маяковский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Маяковский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Маяковский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Маяковский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Маяковский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Маяковский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