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4f1e" w14:textId="d204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2009 жылғы 20 қаңтардағы № 45 "Облыстық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3 тамыздағы № 326 қаулысы. Қостанай облысының Әділет департаментінде 2015 жылғы 25 тамызда № 5834 болып тіркелді. Күші жойылды - Қостанай облысы әкімдігінің 2016 жылғы 19 ақпандағы № 71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19.02.2016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2007 жылғы 15 мамырдағы Қазақстан Республикасы Еңбек кодексі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Қостанай облысы әкімдігінің 2009 жылғы 20 қаңтардағы </w:t>
      </w:r>
      <w:r>
        <w:rPr>
          <w:rFonts w:ascii="Times New Roman"/>
          <w:b w:val="false"/>
          <w:i w:val="false"/>
          <w:color w:val="000000"/>
          <w:sz w:val="28"/>
        </w:rPr>
        <w:t>№ 45</w:t>
      </w:r>
      <w:r>
        <w:rPr>
          <w:rFonts w:ascii="Times New Roman"/>
          <w:b w:val="false"/>
          <w:i w:val="false"/>
          <w:color w:val="000000"/>
          <w:sz w:val="28"/>
        </w:rPr>
        <w:t xml:space="preserve"> "Облыстық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қаулысына (Нормативтік құқықтық актілерді мемлекеттік тіркеу тізілімінде № 3670 болып тіркелген, 2009 жылғы 25 ақпанда "Қостанай таңы"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"Облыстық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тізбесін айқындау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облыстық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 айқындалсын.";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қаулының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"Облыстық бюджет қаражаты есебінен қызметтің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белгіленетін, азаматтық қызметші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w:t>
      </w:r>
      <w:r>
        <w:br/>
      </w:r>
      <w:r>
        <w:rPr>
          <w:rFonts w:ascii="Times New Roman"/>
          <w:b w:val="false"/>
          <w:i w:val="false"/>
          <w:color w:val="000000"/>
          <w:sz w:val="28"/>
        </w:rPr>
        <w:t>
      </w:t>
      </w:r>
      <w:r>
        <w:rPr>
          <w:rFonts w:ascii="Times New Roman"/>
          <w:b w:val="false"/>
          <w:i w:val="false"/>
          <w:color w:val="000000"/>
          <w:sz w:val="28"/>
        </w:rPr>
        <w:t xml:space="preserve">"Спорт мамандарының лауазымдары" деген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