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d3cdb" w14:textId="ecd3c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Дәулет ауылдық округі бойынша бағалық аймақтарға бөлу шекаралары және жер учаскелері үшін төлемақының базалық мөлшерлемесіне түзету коэффициенттері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2015 жылғы 20 наурыздағы № 30/311 шешімі. Маңғыстау облысы Әділет департаментінде 2015 жылғы 30 сәуірде № 2707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Тақырыбы жаңа редакцияда – Маңғыстау облысы Мұнайлы аудандық мәслихатының 20.04.2016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2/18 </w:t>
      </w:r>
      <w:r>
        <w:rPr>
          <w:rFonts w:ascii="Times New Roman"/>
          <w:b w:val="false"/>
          <w:i w:val="false"/>
          <w:color w:val="ff0000"/>
          <w:sz w:val="28"/>
        </w:rPr>
        <w:t>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2003 жылғы 20 маусымдағы № 442 Жер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№ 148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 Дәулет ауылдық округі бойынша бағалық аймақтарға бөлу схемасы мен жер учаскелері үшін төлемақының базалық мөлшерлемесіне түзету коэффициенттері және жер аймақтарының сипаттамасы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Маңғыстау облысы Мұнайлы аудандық мәслихатының 20.04.2016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2/18 </w:t>
      </w:r>
      <w:r>
        <w:rPr>
          <w:rFonts w:ascii="Times New Roman"/>
          <w:b w:val="false"/>
          <w:i w:val="false"/>
          <w:color w:val="ff0000"/>
          <w:sz w:val="28"/>
        </w:rPr>
        <w:t>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Мұнайлы аудандық мәслихаты аппаратының басшысы (А. Жанбуршина) осы шешімнің әділет органдарында мемлекеттік тіркелуін, оның "Әділет" ақпараттық-құқықтық жүйесі мен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орындалуын бақылау Мұнайлы аудандық мәслихатының әлеуметтік мәселелер жөніндегі, заңдылық, құқық тәртібі, депутаттар өкілеттілігі және әдеп мәселелері жөніндегі тұрақты комиссиясына жүктелсін (комиссия төрайымы Г. Себепбаева).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А.УкибаевБ.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"Мұнайлы аудандық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қатынастары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 басшысының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Ә. Өтегенов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 наурыз 2015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4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30/311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 үшін төлемақының базалық мөлшерлемесіне түзету коэффициенттері және Дәулет ауылдық округі жер аймақтарының сипаттамасы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2-қосымшаның тақырыбы жаңа редакцияда Маңғыстау облысы Мұнайлы аудандық мәслихатының 20.04.2016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2/18 </w:t>
      </w:r>
      <w:r>
        <w:rPr>
          <w:rFonts w:ascii="Times New Roman"/>
          <w:b w:val="false"/>
          <w:i w:val="false"/>
          <w:color w:val="ff0000"/>
          <w:sz w:val="28"/>
        </w:rPr>
        <w:t>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5"/>
        <w:gridCol w:w="5438"/>
        <w:gridCol w:w="4627"/>
      </w:tblGrid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Аймаққа енетін аумақтар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Бағалық аймақ бойынша коэффициенттер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Селитебтік аймақ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және өзге режимде пайдалану аймағы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Аймақтардың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сипаты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1-ші </w:t>
      </w:r>
      <w:r>
        <w:rPr>
          <w:rFonts w:ascii="Times New Roman"/>
          <w:b/>
          <w:i w:val="false"/>
          <w:color w:val="000000"/>
          <w:sz w:val="28"/>
        </w:rPr>
        <w:t>аймақ</w:t>
      </w:r>
      <w:r>
        <w:rPr>
          <w:rFonts w:ascii="Times New Roman"/>
          <w:b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Селитебтік – жеке тұрғын үй құрылысы, негізгі әкімшілік ғимараттар, жалпы білім беру мектептері, балабақшалар, емхана, кіші дүкендер жүйесі, кафе құрылыстары;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2-ші </w:t>
      </w:r>
      <w:r>
        <w:rPr>
          <w:rFonts w:ascii="Times New Roman"/>
          <w:b/>
          <w:i w:val="false"/>
          <w:color w:val="000000"/>
          <w:sz w:val="28"/>
        </w:rPr>
        <w:t>аймақ</w:t>
      </w:r>
      <w:r>
        <w:rPr>
          <w:rFonts w:ascii="Times New Roman"/>
          <w:b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Өндірістік аймақ;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3-ші </w:t>
      </w:r>
      <w:r>
        <w:rPr>
          <w:rFonts w:ascii="Times New Roman"/>
          <w:b/>
          <w:i w:val="false"/>
          <w:color w:val="000000"/>
          <w:sz w:val="28"/>
        </w:rPr>
        <w:t>аймақ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Ауыл шаруашылығы және өзге режимде пайдалану аймағы.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