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4f8f" w14:textId="5fc4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аудандық мәслихаттың 2014 жылғы 24 желтоқсандағы № 36/2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23 желтоқсандағы № 48/2 шешімі. Қызылорда облысының Әділет департаментінде 2015 жылғы 28 желтоқсанда № 5272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(нормативтік құқықтық актілерді мемлекеттік тіркеу Тізілімінде 2015 жылғы 09 қаңтарда 4839 нөмірімен тіркелген, 2015 жылдың 21 қаңтарда "Өскен Өңір" газетінде жарияланған) аудандық мәслихаттың 2014 жылғы 24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- 9 609 218,7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- 2 072 685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- 22 379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- 14 783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- 7 499 371,7 мың теңге;</w:t>
      </w:r>
      <w:r>
        <w:br/>
      </w:r>
      <w:r>
        <w:rPr>
          <w:rFonts w:ascii="Times New Roman"/>
          <w:b w:val="false"/>
          <w:i w:val="false"/>
          <w:color w:val="000000"/>
          <w:sz w:val="28"/>
        </w:rPr>
        <w:t>
      </w:t>
      </w:r>
      <w:r>
        <w:rPr>
          <w:rFonts w:ascii="Times New Roman"/>
          <w:b w:val="false"/>
          <w:i w:val="false"/>
          <w:color w:val="000000"/>
          <w:sz w:val="28"/>
        </w:rPr>
        <w:t>2) шығындар - 9 786 349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- 275 868,3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- 275 868,3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w:t>
      </w:r>
      <w:r>
        <w:br/>
      </w:r>
      <w:r>
        <w:rPr>
          <w:rFonts w:ascii="Times New Roman"/>
          <w:b w:val="false"/>
          <w:i w:val="false"/>
          <w:color w:val="000000"/>
          <w:sz w:val="28"/>
        </w:rPr>
        <w:t>
      </w:t>
      </w:r>
      <w:r>
        <w:rPr>
          <w:rFonts w:ascii="Times New Roman"/>
          <w:b w:val="false"/>
          <w:i w:val="false"/>
          <w:color w:val="000000"/>
          <w:sz w:val="28"/>
        </w:rPr>
        <w:t>қарыздарды өтеу - 32 074".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- 177 130,3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Сүлейменов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1-қосымша</w:t>
            </w:r>
          </w:p>
        </w:tc>
      </w:tr>
    </w:tbl>
    <w:bookmarkStart w:name="z26"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78"/>
        <w:gridCol w:w="1002"/>
        <w:gridCol w:w="17"/>
        <w:gridCol w:w="1020"/>
        <w:gridCol w:w="6399"/>
        <w:gridCol w:w="26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9609218,7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2072685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7499371,7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7499371,7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7499371,7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9786349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1177247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5232261,1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4941953,1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601750,8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312805,8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663699,8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470223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83142,3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