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ebe7" w14:textId="bbce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09 маусымдағы № 143-қ қаулысы. Қызылорда облысының Әділет департаментінде 2015 жылғы 22 маусымда № 5028 болып тіркелді. Күші жойылды - Қызылорда облысы Арал ауданы әкімдігінің 2016 жылғы 11 қаңтардағы № 4-қ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ауданы әкімдігінің 11.01.2016 </w:t>
      </w:r>
      <w:r>
        <w:rPr>
          <w:rFonts w:ascii="Times New Roman"/>
          <w:b w:val="false"/>
          <w:i w:val="false"/>
          <w:color w:val="ff0000"/>
          <w:sz w:val="28"/>
        </w:rPr>
        <w:t>№ 4-қ</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Арал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Арал ауданы әкімдігінің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"Арал ауданы әкімінің аппараты" мемлекеттік мекемесінің басшысы Ж.Н. Әлішеваға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143-қ қаулысымен бекітілген</w:t>
            </w:r>
          </w:p>
        </w:tc>
      </w:tr>
    </w:tbl>
    <w:bookmarkStart w:name="z11" w:id="0"/>
    <w:p>
      <w:pPr>
        <w:spacing w:after="0"/>
        <w:ind w:left="0"/>
        <w:jc w:val="left"/>
      </w:pPr>
      <w:r>
        <w:rPr>
          <w:rFonts w:ascii="Times New Roman"/>
          <w:b/>
          <w:i w:val="false"/>
          <w:color w:val="000000"/>
        </w:rPr>
        <w:t xml:space="preserve"> Арал ауданы әкімдігінің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Арал ауданы әкімдігінің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Арал ауданы әкімдігінің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атқарушы органдардың басшылары мен кент, ауылдық округ әкімдері үшін бағалау Арал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Арал ауданының әкімі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Арал ауданы әкімінің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тікелей басшысының бағалау парағын персоналды басқару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толтырылған бағалау парағы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rPr>
          <w:rFonts w:ascii="Times New Roman"/>
          <w:b/>
          <w:i w:val="false"/>
          <w:color w:val="000000"/>
          <w:sz w:val="28"/>
        </w:rPr>
        <w:t>.</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бекіту;</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персоналды басқару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3"/>
        <w:gridCol w:w="1810"/>
        <w:gridCol w:w="1816"/>
        <w:gridCol w:w="6099"/>
        <w:gridCol w:w="26"/>
        <w:gridCol w:w="27"/>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4763"/>
        <w:gridCol w:w="2295"/>
        <w:gridCol w:w="1473"/>
        <w:gridCol w:w="1474"/>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