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f1be" w14:textId="a7bf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2015 жылғы 16 сәуірдегі № 42/5 шешімі. Қызылорда облысының Әділет департаментінде 2015 жылғы 19 мамырда № 4986 болып тіркелді. Күші жойылды - Қызылорда қалалық мәслихатының 2018 жылғы 8 маусымдағы № 164-26/11 шешімімен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қалалық мәслихатының 08.06.2018 </w:t>
      </w:r>
      <w:r>
        <w:rPr>
          <w:rFonts w:ascii="Times New Roman"/>
          <w:b w:val="false"/>
          <w:i w:val="false"/>
          <w:color w:val="000000"/>
          <w:sz w:val="28"/>
        </w:rPr>
        <w:t>№ 16426/11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Автотұрақтарға (паркингтерге), автомобильге май құю станцияларына бөлінген (бөліп шығарылған) жерлерді қоспағанда,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-баптарында белгiленген жер салығының базалық мөлшерлемелері 20 (жиырма) пайыз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ЕРЕЖЕЕВА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Қызылорда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Қ.Ысқақов 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сәуір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